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0742" w:rsidRPr="001E0742" w:rsidRDefault="001E0742" w:rsidP="001E0742">
      <w:pPr>
        <w:rPr>
          <w:rFonts w:ascii="Arial" w:hAnsi="Arial"/>
          <w:b/>
          <w:bCs/>
          <w:color w:val="000000"/>
          <w:sz w:val="22"/>
          <w:szCs w:val="22"/>
          <w:lang w:val="en-US"/>
        </w:rPr>
      </w:pPr>
      <w:r w:rsidRPr="001E0742">
        <w:rPr>
          <w:rFonts w:ascii="Arial" w:hAnsi="Arial"/>
          <w:b/>
          <w:bCs/>
          <w:color w:val="000000"/>
          <w:sz w:val="22"/>
          <w:szCs w:val="22"/>
          <w:lang w:val="en-US"/>
        </w:rPr>
        <w:t>HOCHTI</w:t>
      </w:r>
      <w:bookmarkStart w:id="0" w:name="_GoBack"/>
      <w:bookmarkEnd w:id="0"/>
      <w:r w:rsidRPr="001E0742">
        <w:rPr>
          <w:rFonts w:ascii="Arial" w:hAnsi="Arial"/>
          <w:b/>
          <w:bCs/>
          <w:color w:val="000000"/>
          <w:sz w:val="22"/>
          <w:szCs w:val="22"/>
          <w:lang w:val="en-US"/>
        </w:rPr>
        <w:t>EF increases nominal net profit by 132% supported by outstanding cash flow performance // Strong growth in high-tech infrastructure and energy transition projects</w:t>
      </w:r>
    </w:p>
    <w:p w:rsidR="001E0742" w:rsidRPr="001E0742" w:rsidRDefault="001E0742" w:rsidP="001E0742">
      <w:pPr>
        <w:rPr>
          <w:rFonts w:ascii="Arial" w:hAnsi="Arial"/>
          <w:color w:val="000000"/>
          <w:sz w:val="22"/>
          <w:szCs w:val="22"/>
          <w:lang w:val="en-US"/>
        </w:rPr>
      </w:pPr>
    </w:p>
    <w:p w:rsidR="001E0742" w:rsidRPr="001E0742" w:rsidRDefault="001E0742" w:rsidP="001E0742">
      <w:pPr>
        <w:pStyle w:val="Odstavecseseznamem"/>
        <w:numPr>
          <w:ilvl w:val="0"/>
          <w:numId w:val="1"/>
        </w:numPr>
        <w:spacing w:after="0" w:line="284" w:lineRule="atLeast"/>
        <w:ind w:left="284" w:hanging="281"/>
        <w:rPr>
          <w:rFonts w:ascii="Arial" w:hAnsi="Arial" w:cs="Arial"/>
          <w:b/>
          <w:bCs/>
          <w:lang w:val="en-US"/>
        </w:rPr>
      </w:pPr>
      <w:r w:rsidRPr="001E0742">
        <w:rPr>
          <w:rFonts w:ascii="Arial" w:hAnsi="Arial" w:cs="Arial"/>
          <w:b/>
          <w:bCs/>
          <w:lang w:val="en-US"/>
        </w:rPr>
        <w:t xml:space="preserve">Strong increase of nominal net profit to EUR 482 </w:t>
      </w:r>
      <w:proofErr w:type="gramStart"/>
      <w:r w:rsidRPr="001E0742">
        <w:rPr>
          <w:rFonts w:ascii="Arial" w:hAnsi="Arial" w:cs="Arial"/>
          <w:b/>
          <w:bCs/>
          <w:lang w:val="en-US"/>
        </w:rPr>
        <w:t>million</w:t>
      </w:r>
      <w:proofErr w:type="gramEnd"/>
      <w:r w:rsidRPr="001E0742">
        <w:rPr>
          <w:rFonts w:ascii="Arial" w:hAnsi="Arial" w:cs="Arial"/>
          <w:b/>
          <w:bCs/>
          <w:lang w:val="en-US"/>
        </w:rPr>
        <w:t xml:space="preserve"> vs. </w:t>
      </w:r>
      <w:r w:rsidRPr="001E0742">
        <w:rPr>
          <w:rFonts w:ascii="Arial" w:hAnsi="Arial" w:cs="Arial"/>
          <w:b/>
          <w:bCs/>
          <w:lang w:val="en-US"/>
        </w:rPr>
        <w:br/>
        <w:t>EUR 208 million in 2021 (+132%)</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Operational net profit EUR 522 million, +15% year on year (</w:t>
      </w:r>
      <w:proofErr w:type="spellStart"/>
      <w:r w:rsidRPr="001E0742">
        <w:rPr>
          <w:rFonts w:ascii="Arial" w:hAnsi="Arial" w:cs="Arial"/>
          <w:lang w:val="en-US"/>
        </w:rPr>
        <w:t>yoy</w:t>
      </w:r>
      <w:proofErr w:type="spellEnd"/>
      <w:r w:rsidRPr="001E0742">
        <w:rPr>
          <w:rFonts w:ascii="Arial" w:hAnsi="Arial" w:cs="Arial"/>
          <w:lang w:val="en-US"/>
        </w:rPr>
        <w:t>)</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 xml:space="preserve">Solid performance with sales up 23% </w:t>
      </w:r>
      <w:proofErr w:type="spellStart"/>
      <w:r w:rsidRPr="001E0742">
        <w:rPr>
          <w:rFonts w:ascii="Arial" w:hAnsi="Arial" w:cs="Arial"/>
          <w:lang w:val="en-US"/>
        </w:rPr>
        <w:t>yoy</w:t>
      </w:r>
      <w:proofErr w:type="spellEnd"/>
      <w:r w:rsidRPr="001E0742">
        <w:rPr>
          <w:rFonts w:ascii="Arial" w:hAnsi="Arial" w:cs="Arial"/>
          <w:lang w:val="en-US"/>
        </w:rPr>
        <w:t xml:space="preserve"> at EUR 26.2 billion</w:t>
      </w:r>
      <w:r w:rsidRPr="001E0742">
        <w:rPr>
          <w:rFonts w:ascii="Arial" w:hAnsi="Arial" w:cs="Arial"/>
          <w:lang w:val="en-US"/>
        </w:rPr>
        <w:br/>
        <w:t>(+12% f/x-adjusted) driven by Americas and Asia Pacific</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All divisions contributed to the Group’s operational net profit growth</w:t>
      </w:r>
    </w:p>
    <w:p w:rsidR="001E0742" w:rsidRPr="001E0742" w:rsidRDefault="001E0742" w:rsidP="001E0742">
      <w:pPr>
        <w:pStyle w:val="Odstavecseseznamem"/>
        <w:numPr>
          <w:ilvl w:val="0"/>
          <w:numId w:val="1"/>
        </w:numPr>
        <w:spacing w:after="0" w:line="284" w:lineRule="atLeast"/>
        <w:ind w:left="284" w:hanging="281"/>
        <w:rPr>
          <w:rFonts w:ascii="Arial" w:hAnsi="Arial" w:cs="Arial"/>
          <w:b/>
          <w:bCs/>
          <w:lang w:val="en-US"/>
        </w:rPr>
      </w:pPr>
      <w:r w:rsidRPr="001E0742">
        <w:rPr>
          <w:rFonts w:ascii="Arial" w:hAnsi="Arial" w:cs="Arial"/>
          <w:b/>
          <w:bCs/>
          <w:lang w:val="en-US"/>
        </w:rPr>
        <w:t>Underlying cash flow from operating activities EUR 1.2 billion,</w:t>
      </w:r>
      <w:r w:rsidRPr="001E0742">
        <w:rPr>
          <w:rFonts w:ascii="Arial" w:hAnsi="Arial" w:cs="Arial"/>
          <w:b/>
          <w:bCs/>
          <w:lang w:val="en-US"/>
        </w:rPr>
        <w:br/>
        <w:t xml:space="preserve">up EUR 452 million </w:t>
      </w:r>
      <w:proofErr w:type="spellStart"/>
      <w:r w:rsidRPr="001E0742">
        <w:rPr>
          <w:rFonts w:ascii="Arial" w:hAnsi="Arial" w:cs="Arial"/>
          <w:b/>
          <w:bCs/>
          <w:lang w:val="en-US"/>
        </w:rPr>
        <w:t>yoy</w:t>
      </w:r>
      <w:proofErr w:type="spellEnd"/>
    </w:p>
    <w:p w:rsidR="001E0742" w:rsidRPr="001E0742" w:rsidRDefault="001E0742" w:rsidP="001E0742">
      <w:pPr>
        <w:pStyle w:val="Odstavecseseznamem"/>
        <w:numPr>
          <w:ilvl w:val="0"/>
          <w:numId w:val="1"/>
        </w:numPr>
        <w:spacing w:after="0" w:line="284" w:lineRule="atLeast"/>
        <w:ind w:left="284" w:hanging="281"/>
        <w:rPr>
          <w:rFonts w:ascii="Arial" w:hAnsi="Arial" w:cs="Arial"/>
          <w:b/>
          <w:bCs/>
          <w:lang w:val="en-US"/>
        </w:rPr>
      </w:pPr>
      <w:r w:rsidRPr="001E0742">
        <w:rPr>
          <w:rFonts w:ascii="Arial" w:hAnsi="Arial" w:cs="Arial"/>
          <w:b/>
          <w:bCs/>
          <w:lang w:val="en-US"/>
        </w:rPr>
        <w:t>Solid net cash position of EUR 354 million, after net EUR 534 million CIMIC minority buyout and EUR 126 million MACA acquisition</w:t>
      </w:r>
    </w:p>
    <w:p w:rsidR="001E0742" w:rsidRPr="001E0742" w:rsidRDefault="001E0742" w:rsidP="001E0742">
      <w:pPr>
        <w:pStyle w:val="Odstavecseseznamem"/>
        <w:numPr>
          <w:ilvl w:val="0"/>
          <w:numId w:val="1"/>
        </w:numPr>
        <w:spacing w:after="0" w:line="284" w:lineRule="atLeast"/>
        <w:ind w:left="284" w:hanging="281"/>
        <w:rPr>
          <w:rFonts w:ascii="Arial" w:hAnsi="Arial" w:cs="Arial"/>
          <w:b/>
          <w:bCs/>
          <w:lang w:val="en-US"/>
        </w:rPr>
      </w:pPr>
      <w:r w:rsidRPr="001E0742">
        <w:rPr>
          <w:rFonts w:ascii="Arial" w:hAnsi="Arial" w:cs="Arial"/>
          <w:b/>
          <w:bCs/>
          <w:lang w:val="en-US"/>
        </w:rPr>
        <w:t xml:space="preserve">Order backlog of EUR 51.4 billion up EUR 3.0 billion or 6% </w:t>
      </w:r>
      <w:proofErr w:type="spellStart"/>
      <w:r w:rsidRPr="001E0742">
        <w:rPr>
          <w:rFonts w:ascii="Arial" w:hAnsi="Arial" w:cs="Arial"/>
          <w:b/>
          <w:bCs/>
          <w:lang w:val="en-US"/>
        </w:rPr>
        <w:t>yoy</w:t>
      </w:r>
      <w:proofErr w:type="spellEnd"/>
      <w:r w:rsidRPr="001E0742">
        <w:rPr>
          <w:rFonts w:ascii="Arial" w:hAnsi="Arial" w:cs="Arial"/>
          <w:b/>
          <w:bCs/>
          <w:lang w:val="en-US"/>
        </w:rPr>
        <w:t>;</w:t>
      </w:r>
      <w:r w:rsidRPr="001E0742">
        <w:rPr>
          <w:rFonts w:ascii="Arial" w:hAnsi="Arial" w:cs="Arial"/>
          <w:lang w:val="en-US"/>
        </w:rPr>
        <w:t xml:space="preserve"> </w:t>
      </w:r>
    </w:p>
    <w:p w:rsidR="001E0742" w:rsidRPr="001E0742" w:rsidRDefault="001E0742" w:rsidP="001E0742">
      <w:pPr>
        <w:numPr>
          <w:ilvl w:val="1"/>
          <w:numId w:val="1"/>
        </w:numPr>
        <w:spacing w:line="284" w:lineRule="atLeast"/>
        <w:ind w:left="567" w:hanging="283"/>
        <w:contextualSpacing/>
        <w:rPr>
          <w:rFonts w:ascii="Arial" w:hAnsi="Arial"/>
          <w:lang w:val="en-US"/>
        </w:rPr>
      </w:pPr>
      <w:r w:rsidRPr="001E0742">
        <w:rPr>
          <w:rFonts w:ascii="Arial" w:hAnsi="Arial"/>
          <w:lang w:val="en-US"/>
        </w:rPr>
        <w:t xml:space="preserve">New orders of EUR 30.1 billion (+9% </w:t>
      </w:r>
      <w:proofErr w:type="spellStart"/>
      <w:r w:rsidRPr="001E0742">
        <w:rPr>
          <w:rFonts w:ascii="Arial" w:hAnsi="Arial"/>
          <w:lang w:val="en-US"/>
        </w:rPr>
        <w:t>yoy</w:t>
      </w:r>
      <w:proofErr w:type="spellEnd"/>
      <w:r w:rsidRPr="001E0742">
        <w:rPr>
          <w:rFonts w:ascii="Arial" w:hAnsi="Arial"/>
          <w:lang w:val="en-US"/>
        </w:rPr>
        <w:t>), with strong Q4 momentum</w:t>
      </w:r>
    </w:p>
    <w:p w:rsidR="001E0742" w:rsidRPr="001E0742" w:rsidRDefault="001E0742" w:rsidP="001E0742">
      <w:pPr>
        <w:pStyle w:val="Odstavecseseznamem"/>
        <w:numPr>
          <w:ilvl w:val="0"/>
          <w:numId w:val="1"/>
        </w:numPr>
        <w:spacing w:after="0" w:line="284" w:lineRule="atLeast"/>
        <w:rPr>
          <w:rFonts w:ascii="Arial" w:hAnsi="Arial" w:cs="Arial"/>
          <w:b/>
          <w:bCs/>
          <w:lang w:val="en-US"/>
        </w:rPr>
      </w:pPr>
      <w:r w:rsidRPr="001E0742">
        <w:rPr>
          <w:rFonts w:ascii="Arial" w:hAnsi="Arial" w:cs="Arial"/>
          <w:b/>
          <w:bCs/>
          <w:lang w:val="en-US"/>
        </w:rPr>
        <w:t>Guidance FY 2023: operational net profit EUR 510–550 million;</w:t>
      </w:r>
      <w:r w:rsidRPr="001E0742">
        <w:rPr>
          <w:rFonts w:ascii="Arial" w:hAnsi="Arial" w:cs="Arial"/>
          <w:b/>
          <w:bCs/>
          <w:lang w:val="en-US"/>
        </w:rPr>
        <w:br/>
        <w:t>positive outlook supported by strong order backlog</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Proposed dividend of EUR 4.00 per share (vs. EUR 1.91 for 2021)</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Several strategic and bolt-on acquisitions completed</w:t>
      </w:r>
    </w:p>
    <w:p w:rsidR="001E0742" w:rsidRPr="001E0742" w:rsidRDefault="001E0742" w:rsidP="001E0742">
      <w:pPr>
        <w:pStyle w:val="Odstavecseseznamem"/>
        <w:numPr>
          <w:ilvl w:val="1"/>
          <w:numId w:val="1"/>
        </w:numPr>
        <w:spacing w:after="0" w:line="284" w:lineRule="atLeast"/>
        <w:ind w:left="567" w:hanging="283"/>
        <w:rPr>
          <w:rFonts w:ascii="Arial" w:hAnsi="Arial" w:cs="Arial"/>
          <w:lang w:val="en-US"/>
        </w:rPr>
      </w:pPr>
      <w:r w:rsidRPr="001E0742">
        <w:rPr>
          <w:rFonts w:ascii="Arial" w:hAnsi="Arial" w:cs="Arial"/>
          <w:lang w:val="en-US"/>
        </w:rPr>
        <w:t>Well positioned to benefit from opportunities in fast growing high-tech, energy transition and sustainable infrastructure markets</w:t>
      </w:r>
    </w:p>
    <w:p w:rsidR="001E0742" w:rsidRPr="001E0742" w:rsidRDefault="001E0742" w:rsidP="001E0742">
      <w:pPr>
        <w:spacing w:line="284" w:lineRule="atLeast"/>
        <w:rPr>
          <w:rFonts w:ascii="Arial" w:hAnsi="Arial"/>
          <w:lang w:val="en-US"/>
        </w:rPr>
      </w:pPr>
    </w:p>
    <w:p w:rsidR="001E0742" w:rsidRPr="001E0742" w:rsidRDefault="001E0742" w:rsidP="001E0742">
      <w:pPr>
        <w:spacing w:line="284" w:lineRule="atLeast"/>
        <w:rPr>
          <w:rFonts w:ascii="Arial" w:hAnsi="Arial"/>
          <w:lang w:val="en-US"/>
        </w:rPr>
      </w:pP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“HOCHTIEF delivered a robust performance in 2022 notwithstanding the challenges of the current macroeconomic environment”, says CEO Juan </w:t>
      </w:r>
      <w:proofErr w:type="spellStart"/>
      <w:r w:rsidRPr="001E0742">
        <w:rPr>
          <w:rFonts w:ascii="Arial" w:hAnsi="Arial"/>
          <w:sz w:val="22"/>
          <w:szCs w:val="22"/>
          <w:lang w:val="en-US"/>
        </w:rPr>
        <w:t>Santamaría</w:t>
      </w:r>
      <w:proofErr w:type="spellEnd"/>
      <w:r w:rsidRPr="001E0742">
        <w:rPr>
          <w:rFonts w:ascii="Arial" w:hAnsi="Arial"/>
          <w:sz w:val="22"/>
          <w:szCs w:val="22"/>
          <w:lang w:val="en-US"/>
        </w:rPr>
        <w:t>. “Solid growth in revenues and profits was accompanied by an outstanding cash flow performance and a further expansion of the order book, particularly in high-tech infrastructure and energy transition projects”.</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HOCHTIEF also achieved a substantial simplification of the Group corporate structure in 2022 following the successful buyout of the minorities of our Australian subsidiary CIMIC.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b/>
          <w:bCs/>
          <w:sz w:val="22"/>
          <w:szCs w:val="22"/>
          <w:lang w:val="en-US"/>
        </w:rPr>
        <w:t>Sales</w:t>
      </w:r>
      <w:r w:rsidRPr="001E0742">
        <w:rPr>
          <w:rFonts w:ascii="Arial" w:hAnsi="Arial"/>
          <w:sz w:val="22"/>
          <w:szCs w:val="22"/>
          <w:lang w:val="en-US"/>
        </w:rPr>
        <w:t xml:space="preserve"> increased by 23% in 2022 to EUR 26.2 </w:t>
      </w:r>
      <w:proofErr w:type="gramStart"/>
      <w:r w:rsidRPr="001E0742">
        <w:rPr>
          <w:rFonts w:ascii="Arial" w:hAnsi="Arial"/>
          <w:sz w:val="22"/>
          <w:szCs w:val="22"/>
          <w:lang w:val="en-US"/>
        </w:rPr>
        <w:t>billion</w:t>
      </w:r>
      <w:proofErr w:type="gramEnd"/>
      <w:r w:rsidRPr="001E0742">
        <w:rPr>
          <w:rFonts w:ascii="Arial" w:hAnsi="Arial"/>
          <w:sz w:val="22"/>
          <w:szCs w:val="22"/>
          <w:lang w:val="en-US"/>
        </w:rPr>
        <w:t xml:space="preserve"> and were 12% higher in f/x-adjusted terms. </w:t>
      </w:r>
      <w:r w:rsidRPr="001E0742">
        <w:rPr>
          <w:rFonts w:ascii="Arial" w:hAnsi="Arial"/>
          <w:b/>
          <w:bCs/>
          <w:sz w:val="22"/>
          <w:szCs w:val="22"/>
          <w:lang w:val="en-US"/>
        </w:rPr>
        <w:t>Operational net profit</w:t>
      </w:r>
      <w:r w:rsidRPr="001E0742">
        <w:rPr>
          <w:rFonts w:ascii="Arial" w:hAnsi="Arial"/>
          <w:sz w:val="22"/>
          <w:szCs w:val="22"/>
          <w:lang w:val="en-US"/>
        </w:rPr>
        <w:t xml:space="preserve"> rose by 15% to EUR 522 million with nominal net profit of EUR 482 million compared with EUR 208 million in 2021. All divisions contributed to the operational net profit growth.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b/>
          <w:bCs/>
          <w:sz w:val="22"/>
          <w:szCs w:val="22"/>
          <w:lang w:val="en-US"/>
        </w:rPr>
        <w:t>Cash flow generation</w:t>
      </w:r>
      <w:r w:rsidRPr="001E0742">
        <w:rPr>
          <w:rFonts w:ascii="Arial" w:hAnsi="Arial"/>
          <w:sz w:val="22"/>
          <w:szCs w:val="22"/>
          <w:lang w:val="en-US"/>
        </w:rPr>
        <w:t xml:space="preserve"> was very strong in underlying and nominal terms. Underlying cash flow from operating activities pre-factoring of EUR 1.2 </w:t>
      </w:r>
      <w:proofErr w:type="gramStart"/>
      <w:r w:rsidRPr="001E0742">
        <w:rPr>
          <w:rFonts w:ascii="Arial" w:hAnsi="Arial"/>
          <w:sz w:val="22"/>
          <w:szCs w:val="22"/>
          <w:lang w:val="en-US"/>
        </w:rPr>
        <w:t>billion</w:t>
      </w:r>
      <w:proofErr w:type="gramEnd"/>
      <w:r w:rsidRPr="001E0742">
        <w:rPr>
          <w:rFonts w:ascii="Arial" w:hAnsi="Arial"/>
          <w:sz w:val="22"/>
          <w:szCs w:val="22"/>
          <w:lang w:val="en-US"/>
        </w:rPr>
        <w:t xml:space="preserve"> was EUR 452 million higher year on year, driven by an outstanding cash-conversion level.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HOCHTIEF ended the year with a solid </w:t>
      </w:r>
      <w:r w:rsidRPr="001E0742">
        <w:rPr>
          <w:rFonts w:ascii="Arial" w:hAnsi="Arial"/>
          <w:b/>
          <w:bCs/>
          <w:sz w:val="22"/>
          <w:szCs w:val="22"/>
          <w:lang w:val="en-US"/>
        </w:rPr>
        <w:t>net cash position</w:t>
      </w:r>
      <w:r w:rsidRPr="001E0742">
        <w:rPr>
          <w:rFonts w:ascii="Arial" w:hAnsi="Arial"/>
          <w:sz w:val="22"/>
          <w:szCs w:val="22"/>
          <w:lang w:val="en-US"/>
        </w:rPr>
        <w:t xml:space="preserve"> of over EUR 350 </w:t>
      </w:r>
      <w:proofErr w:type="gramStart"/>
      <w:r w:rsidRPr="001E0742">
        <w:rPr>
          <w:rFonts w:ascii="Arial" w:hAnsi="Arial"/>
          <w:sz w:val="22"/>
          <w:szCs w:val="22"/>
          <w:lang w:val="en-US"/>
        </w:rPr>
        <w:t>million</w:t>
      </w:r>
      <w:proofErr w:type="gramEnd"/>
      <w:r w:rsidRPr="001E0742">
        <w:rPr>
          <w:rFonts w:ascii="Arial" w:hAnsi="Arial"/>
          <w:sz w:val="22"/>
          <w:szCs w:val="22"/>
          <w:lang w:val="en-US"/>
        </w:rPr>
        <w:t xml:space="preserve">. Adjusting for the EUR 534 million investment in CIMIC (net of the HOCHTIEF capital increase) and EUR 126 million for the MACA acquisition, the balance sheet would show a net cash position of just over EUR 1.0 </w:t>
      </w:r>
      <w:proofErr w:type="gramStart"/>
      <w:r w:rsidRPr="001E0742">
        <w:rPr>
          <w:rFonts w:ascii="Arial" w:hAnsi="Arial"/>
          <w:sz w:val="22"/>
          <w:szCs w:val="22"/>
          <w:lang w:val="en-US"/>
        </w:rPr>
        <w:t>billion</w:t>
      </w:r>
      <w:proofErr w:type="gramEnd"/>
      <w:r w:rsidRPr="001E0742">
        <w:rPr>
          <w:rFonts w:ascii="Arial" w:hAnsi="Arial"/>
          <w:sz w:val="22"/>
          <w:szCs w:val="22"/>
          <w:lang w:val="en-US"/>
        </w:rPr>
        <w:t xml:space="preserve">. Maintaining a strong balance sheet is a key element of our Group strategy and part of the commitment to maintaining an investment grade rating.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The Group’s </w:t>
      </w:r>
      <w:r w:rsidRPr="001E0742">
        <w:rPr>
          <w:rFonts w:ascii="Arial" w:hAnsi="Arial"/>
          <w:b/>
          <w:bCs/>
          <w:sz w:val="22"/>
          <w:szCs w:val="22"/>
          <w:lang w:val="en-US"/>
        </w:rPr>
        <w:t>order book</w:t>
      </w:r>
      <w:r w:rsidRPr="001E0742">
        <w:rPr>
          <w:rFonts w:ascii="Arial" w:hAnsi="Arial"/>
          <w:sz w:val="22"/>
          <w:szCs w:val="22"/>
          <w:lang w:val="en-US"/>
        </w:rPr>
        <w:t xml:space="preserve"> stands at EUR 51.4 </w:t>
      </w:r>
      <w:proofErr w:type="gramStart"/>
      <w:r w:rsidRPr="001E0742">
        <w:rPr>
          <w:rFonts w:ascii="Arial" w:hAnsi="Arial"/>
          <w:sz w:val="22"/>
          <w:szCs w:val="22"/>
          <w:lang w:val="en-US"/>
        </w:rPr>
        <w:t>billion</w:t>
      </w:r>
      <w:proofErr w:type="gramEnd"/>
      <w:r w:rsidRPr="001E0742">
        <w:rPr>
          <w:rFonts w:ascii="Arial" w:hAnsi="Arial"/>
          <w:sz w:val="22"/>
          <w:szCs w:val="22"/>
          <w:lang w:val="en-US"/>
        </w:rPr>
        <w:t xml:space="preserve"> and is up by EUR 3.0 billion since December 2021. Over half of our backlog (54%) is located in North America with a further 38% in the Asia-Pacific region and 8% in Europe. </w:t>
      </w:r>
      <w:proofErr w:type="gramStart"/>
      <w:r w:rsidRPr="001E0742">
        <w:rPr>
          <w:rFonts w:ascii="Arial" w:hAnsi="Arial"/>
          <w:sz w:val="22"/>
          <w:szCs w:val="22"/>
          <w:lang w:val="en-US"/>
        </w:rPr>
        <w:t>As a consequence</w:t>
      </w:r>
      <w:proofErr w:type="gramEnd"/>
      <w:r w:rsidRPr="001E0742">
        <w:rPr>
          <w:rFonts w:ascii="Arial" w:hAnsi="Arial"/>
          <w:sz w:val="22"/>
          <w:szCs w:val="22"/>
          <w:lang w:val="en-US"/>
        </w:rPr>
        <w:t xml:space="preserve"> of the strategy to further </w:t>
      </w:r>
      <w:r w:rsidRPr="001E0742">
        <w:rPr>
          <w:rFonts w:ascii="Arial" w:hAnsi="Arial"/>
          <w:sz w:val="22"/>
          <w:szCs w:val="22"/>
          <w:lang w:val="en-US"/>
        </w:rPr>
        <w:lastRenderedPageBreak/>
        <w:t xml:space="preserve">improve the Group’s risk profile, lower-risk contracts, which incorporate enhanced risk-sharing mechanisms, now account for over 80% of our order book.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“A key element of our corporate strategy is to further develop HOCHTIEF’s presence in rapidly expanding high-tech, energy transition and sustainable infrastructure markets”, says CEO Juan </w:t>
      </w:r>
      <w:proofErr w:type="spellStart"/>
      <w:r w:rsidRPr="001E0742">
        <w:rPr>
          <w:rFonts w:ascii="Arial" w:hAnsi="Arial"/>
          <w:sz w:val="22"/>
          <w:szCs w:val="22"/>
          <w:lang w:val="en-US"/>
        </w:rPr>
        <w:t>Santamaría</w:t>
      </w:r>
      <w:proofErr w:type="spellEnd"/>
      <w:r w:rsidRPr="001E0742">
        <w:rPr>
          <w:rFonts w:ascii="Arial" w:hAnsi="Arial"/>
          <w:sz w:val="22"/>
          <w:szCs w:val="22"/>
          <w:lang w:val="en-US"/>
        </w:rPr>
        <w:t xml:space="preserve">. “By harnessing the strong existing infrastructure skill-set and local presence in key developed markets we can materialize these growth opportunities”. </w:t>
      </w:r>
    </w:p>
    <w:p w:rsidR="001E0742" w:rsidRPr="001E0742" w:rsidRDefault="001E0742" w:rsidP="001E0742">
      <w:pPr>
        <w:rPr>
          <w:rFonts w:ascii="Arial" w:hAnsi="Arial"/>
          <w:sz w:val="22"/>
          <w:szCs w:val="22"/>
          <w:lang w:val="en-US"/>
        </w:rPr>
      </w:pPr>
      <w:r w:rsidRPr="001E0742">
        <w:rPr>
          <w:rFonts w:ascii="Arial" w:hAnsi="Arial"/>
          <w:b/>
          <w:bCs/>
          <w:sz w:val="22"/>
          <w:szCs w:val="22"/>
          <w:lang w:val="en-US"/>
        </w:rPr>
        <w:t>New orders</w:t>
      </w:r>
      <w:r w:rsidRPr="001E0742">
        <w:rPr>
          <w:rFonts w:ascii="Arial" w:hAnsi="Arial"/>
          <w:sz w:val="22"/>
          <w:szCs w:val="22"/>
          <w:lang w:val="en-US"/>
        </w:rPr>
        <w:t xml:space="preserve"> exceeded the EUR 30 </w:t>
      </w:r>
      <w:proofErr w:type="gramStart"/>
      <w:r w:rsidRPr="001E0742">
        <w:rPr>
          <w:rFonts w:ascii="Arial" w:hAnsi="Arial"/>
          <w:sz w:val="22"/>
          <w:szCs w:val="22"/>
          <w:lang w:val="en-US"/>
        </w:rPr>
        <w:t>billion</w:t>
      </w:r>
      <w:proofErr w:type="gramEnd"/>
      <w:r w:rsidRPr="001E0742">
        <w:rPr>
          <w:rFonts w:ascii="Arial" w:hAnsi="Arial"/>
          <w:sz w:val="22"/>
          <w:szCs w:val="22"/>
          <w:lang w:val="en-US"/>
        </w:rPr>
        <w:t xml:space="preserve"> level and are 9% higher year on year on a comparable basis. The Group recorded strong order intake in several attractive growth markets:</w:t>
      </w:r>
    </w:p>
    <w:p w:rsidR="001E0742" w:rsidRPr="001E0742" w:rsidRDefault="001E0742" w:rsidP="001E0742">
      <w:pPr>
        <w:pStyle w:val="Odstavecseseznamem"/>
        <w:numPr>
          <w:ilvl w:val="0"/>
          <w:numId w:val="2"/>
        </w:numPr>
        <w:spacing w:line="240" w:lineRule="auto"/>
        <w:rPr>
          <w:rFonts w:ascii="Arial" w:hAnsi="Arial" w:cs="Arial"/>
          <w:b/>
          <w:bCs/>
          <w:lang w:val="en-US"/>
        </w:rPr>
      </w:pPr>
      <w:r w:rsidRPr="001E0742">
        <w:rPr>
          <w:rFonts w:ascii="Arial" w:hAnsi="Arial" w:cs="Arial"/>
          <w:b/>
          <w:bCs/>
          <w:lang w:val="en-US"/>
        </w:rPr>
        <w:t>Energy transition</w:t>
      </w:r>
      <w:r w:rsidRPr="001E0742">
        <w:rPr>
          <w:rFonts w:ascii="Arial" w:hAnsi="Arial" w:cs="Arial"/>
          <w:b/>
          <w:bCs/>
          <w:lang w:val="en-US"/>
        </w:rPr>
        <w:br/>
      </w:r>
      <w:r w:rsidRPr="001E0742">
        <w:rPr>
          <w:rFonts w:ascii="Arial" w:hAnsi="Arial" w:cs="Arial"/>
          <w:lang w:val="en-US"/>
        </w:rPr>
        <w:t xml:space="preserve">Industry experts estimate that automakers will invest USD 330 </w:t>
      </w:r>
      <w:proofErr w:type="gramStart"/>
      <w:r w:rsidRPr="001E0742">
        <w:rPr>
          <w:rFonts w:ascii="Arial" w:hAnsi="Arial" w:cs="Arial"/>
          <w:lang w:val="en-US"/>
        </w:rPr>
        <w:t>billion</w:t>
      </w:r>
      <w:proofErr w:type="gramEnd"/>
      <w:r w:rsidRPr="001E0742">
        <w:rPr>
          <w:rFonts w:ascii="Arial" w:hAnsi="Arial" w:cs="Arial"/>
          <w:lang w:val="en-US"/>
        </w:rPr>
        <w:t xml:space="preserve"> globally in the entire electric-vehicle supply chain over the next five years. About a third of that </w:t>
      </w:r>
      <w:proofErr w:type="gramStart"/>
      <w:r w:rsidRPr="001E0742">
        <w:rPr>
          <w:rFonts w:ascii="Arial" w:hAnsi="Arial" w:cs="Arial"/>
          <w:lang w:val="en-US"/>
        </w:rPr>
        <w:t>is expected</w:t>
      </w:r>
      <w:proofErr w:type="gramEnd"/>
      <w:r w:rsidRPr="001E0742">
        <w:rPr>
          <w:rFonts w:ascii="Arial" w:hAnsi="Arial" w:cs="Arial"/>
          <w:lang w:val="en-US"/>
        </w:rPr>
        <w:t xml:space="preserve"> to go into batteries. HOCHTIEF </w:t>
      </w:r>
      <w:proofErr w:type="gramStart"/>
      <w:r w:rsidRPr="001E0742">
        <w:rPr>
          <w:rFonts w:ascii="Arial" w:hAnsi="Arial" w:cs="Arial"/>
          <w:lang w:val="en-US"/>
        </w:rPr>
        <w:t>was awarded</w:t>
      </w:r>
      <w:proofErr w:type="gramEnd"/>
      <w:r w:rsidRPr="001E0742">
        <w:rPr>
          <w:rFonts w:ascii="Arial" w:hAnsi="Arial" w:cs="Arial"/>
          <w:lang w:val="en-US"/>
        </w:rPr>
        <w:t xml:space="preserve"> a contract in Germany for the construction of a battery-cell factory worth around EUR 240 million. In the U.S., our subsidiary Turner has already won several mega projects, including a project for Ascend Elements in Hopkinsville, Kentucky, with an investment volume of up to USD 1 </w:t>
      </w:r>
      <w:proofErr w:type="gramStart"/>
      <w:r w:rsidRPr="001E0742">
        <w:rPr>
          <w:rFonts w:ascii="Arial" w:hAnsi="Arial" w:cs="Arial"/>
          <w:lang w:val="en-US"/>
        </w:rPr>
        <w:t>billion</w:t>
      </w:r>
      <w:proofErr w:type="gramEnd"/>
      <w:r w:rsidRPr="001E0742">
        <w:rPr>
          <w:rFonts w:ascii="Arial" w:hAnsi="Arial" w:cs="Arial"/>
          <w:lang w:val="en-US"/>
        </w:rPr>
        <w:t>.</w:t>
      </w:r>
    </w:p>
    <w:p w:rsidR="001E0742" w:rsidRPr="001E0742" w:rsidRDefault="001E0742" w:rsidP="001E0742">
      <w:pPr>
        <w:pStyle w:val="Odstavecseseznamem"/>
        <w:spacing w:line="240" w:lineRule="auto"/>
        <w:rPr>
          <w:rFonts w:ascii="Arial" w:hAnsi="Arial" w:cs="Arial"/>
          <w:b/>
          <w:bCs/>
          <w:lang w:val="en-US"/>
        </w:rPr>
      </w:pPr>
    </w:p>
    <w:p w:rsidR="001E0742" w:rsidRPr="001E0742" w:rsidRDefault="001E0742" w:rsidP="001E0742">
      <w:pPr>
        <w:pStyle w:val="Odstavecseseznamem"/>
        <w:spacing w:line="240" w:lineRule="auto"/>
        <w:rPr>
          <w:rFonts w:ascii="Arial" w:hAnsi="Arial" w:cs="Arial"/>
          <w:lang w:val="en-US"/>
        </w:rPr>
      </w:pPr>
      <w:r w:rsidRPr="001E0742">
        <w:rPr>
          <w:rFonts w:ascii="Arial" w:hAnsi="Arial" w:cs="Arial"/>
          <w:lang w:val="en-US"/>
        </w:rPr>
        <w:t xml:space="preserve">Earlier this year, UGL </w:t>
      </w:r>
      <w:proofErr w:type="gramStart"/>
      <w:r w:rsidRPr="001E0742">
        <w:rPr>
          <w:rFonts w:ascii="Arial" w:hAnsi="Arial" w:cs="Arial"/>
          <w:lang w:val="en-US"/>
        </w:rPr>
        <w:t>was awarded</w:t>
      </w:r>
      <w:proofErr w:type="gramEnd"/>
      <w:r w:rsidRPr="001E0742">
        <w:rPr>
          <w:rFonts w:ascii="Arial" w:hAnsi="Arial" w:cs="Arial"/>
          <w:lang w:val="en-US"/>
        </w:rPr>
        <w:t xml:space="preserve"> a significant contract to install a Tesla-supplied battery energy storage system and associated high-voltage infrastructure on the premises of an existing large solar farm in Queensland. HOCHTIEF Group has been building solar farms in Australia for many years and CIMIC is developing a solar farm to supply electricity to 45,000 households in Victoria. Furthermore, the Group is constructing a hydrogen-ready power generation plant in New South Wales.</w:t>
      </w:r>
    </w:p>
    <w:p w:rsidR="001E0742" w:rsidRPr="001E0742" w:rsidRDefault="001E0742" w:rsidP="001E0742">
      <w:pPr>
        <w:pStyle w:val="Odstavecseseznamem"/>
        <w:spacing w:line="240" w:lineRule="auto"/>
        <w:rPr>
          <w:rFonts w:ascii="Arial" w:hAnsi="Arial" w:cs="Arial"/>
          <w:lang w:val="en-US"/>
        </w:rPr>
      </w:pPr>
    </w:p>
    <w:p w:rsidR="001E0742" w:rsidRPr="001E0742" w:rsidRDefault="001E0742" w:rsidP="001E0742">
      <w:pPr>
        <w:pStyle w:val="Odstavecseseznamem"/>
        <w:numPr>
          <w:ilvl w:val="0"/>
          <w:numId w:val="3"/>
        </w:numPr>
        <w:spacing w:line="240" w:lineRule="auto"/>
        <w:rPr>
          <w:rFonts w:ascii="Arial" w:hAnsi="Arial" w:cs="Arial"/>
          <w:lang w:val="en-US"/>
        </w:rPr>
      </w:pPr>
      <w:r w:rsidRPr="001E0742">
        <w:rPr>
          <w:rFonts w:ascii="Arial" w:hAnsi="Arial" w:cs="Arial"/>
          <w:b/>
          <w:bCs/>
          <w:lang w:val="en-US"/>
        </w:rPr>
        <w:t>Digital infrastructure</w:t>
      </w:r>
      <w:r w:rsidRPr="001E0742">
        <w:rPr>
          <w:rFonts w:ascii="Arial" w:hAnsi="Arial" w:cs="Arial"/>
          <w:lang w:val="en-US"/>
        </w:rPr>
        <w:br/>
        <w:t xml:space="preserve">HOCHTIEF already has an order backlog of more than EUR 4 </w:t>
      </w:r>
      <w:proofErr w:type="gramStart"/>
      <w:r w:rsidRPr="001E0742">
        <w:rPr>
          <w:rFonts w:ascii="Arial" w:hAnsi="Arial" w:cs="Arial"/>
          <w:lang w:val="en-US"/>
        </w:rPr>
        <w:t>billion</w:t>
      </w:r>
      <w:proofErr w:type="gramEnd"/>
      <w:r w:rsidRPr="001E0742">
        <w:rPr>
          <w:rFonts w:ascii="Arial" w:hAnsi="Arial" w:cs="Arial"/>
          <w:lang w:val="en-US"/>
        </w:rPr>
        <w:t xml:space="preserve"> in this sector. Investments in 2021 in the data center market alone amounted to EUR 50 </w:t>
      </w:r>
      <w:proofErr w:type="gramStart"/>
      <w:r w:rsidRPr="001E0742">
        <w:rPr>
          <w:rFonts w:ascii="Arial" w:hAnsi="Arial" w:cs="Arial"/>
          <w:lang w:val="en-US"/>
        </w:rPr>
        <w:t>billion</w:t>
      </w:r>
      <w:proofErr w:type="gramEnd"/>
      <w:r w:rsidRPr="001E0742">
        <w:rPr>
          <w:rFonts w:ascii="Arial" w:hAnsi="Arial" w:cs="Arial"/>
          <w:lang w:val="en-US"/>
        </w:rPr>
        <w:t xml:space="preserve"> globally and forecasts predict an increase to EUR 111 billion per year by 2027.</w:t>
      </w:r>
    </w:p>
    <w:p w:rsidR="001E0742" w:rsidRPr="001E0742" w:rsidRDefault="001E0742" w:rsidP="001E0742">
      <w:pPr>
        <w:pStyle w:val="Odstavecseseznamem"/>
        <w:spacing w:line="240" w:lineRule="auto"/>
        <w:rPr>
          <w:rFonts w:ascii="Arial" w:hAnsi="Arial" w:cs="Arial"/>
          <w:lang w:val="en-US"/>
        </w:rPr>
      </w:pPr>
    </w:p>
    <w:p w:rsidR="001E0742" w:rsidRPr="001E0742" w:rsidRDefault="001E0742" w:rsidP="001E0742">
      <w:pPr>
        <w:pStyle w:val="Odstavecseseznamem"/>
        <w:spacing w:line="240" w:lineRule="auto"/>
        <w:rPr>
          <w:rFonts w:ascii="Arial" w:hAnsi="Arial" w:cs="Arial"/>
          <w:lang w:val="en-US"/>
        </w:rPr>
      </w:pPr>
      <w:r w:rsidRPr="001E0742">
        <w:rPr>
          <w:rFonts w:ascii="Arial" w:hAnsi="Arial" w:cs="Arial"/>
          <w:lang w:val="en-US"/>
        </w:rPr>
        <w:t xml:space="preserve">In the U.S., Turner has executed several data centers for many of the biggest tech giants, and approximately 40 more are just underway. In 2022, Turner won new contracts for data centers worth more than EUR 3 </w:t>
      </w:r>
      <w:proofErr w:type="gramStart"/>
      <w:r w:rsidRPr="001E0742">
        <w:rPr>
          <w:rFonts w:ascii="Arial" w:hAnsi="Arial" w:cs="Arial"/>
          <w:lang w:val="en-US"/>
        </w:rPr>
        <w:t>billion</w:t>
      </w:r>
      <w:proofErr w:type="gramEnd"/>
      <w:r w:rsidRPr="001E0742">
        <w:rPr>
          <w:rFonts w:ascii="Arial" w:hAnsi="Arial" w:cs="Arial"/>
          <w:lang w:val="en-US"/>
        </w:rPr>
        <w:t>. CIMIC also won an advanced data center project during the year. In Europe, HOCHTIEF has teamed up with an infrastructure fund to build and operate sustainable data centers in Germany.</w:t>
      </w:r>
    </w:p>
    <w:p w:rsidR="001E0742" w:rsidRPr="001E0742" w:rsidRDefault="001E0742" w:rsidP="001E0742">
      <w:pPr>
        <w:pStyle w:val="Odstavecseseznamem"/>
        <w:spacing w:line="240" w:lineRule="auto"/>
        <w:rPr>
          <w:rFonts w:ascii="Arial" w:hAnsi="Arial" w:cs="Arial"/>
          <w:lang w:val="en-US"/>
        </w:rPr>
      </w:pPr>
    </w:p>
    <w:p w:rsidR="001E0742" w:rsidRPr="001E0742" w:rsidRDefault="001E0742" w:rsidP="001E0742">
      <w:pPr>
        <w:pStyle w:val="Odstavecseseznamem"/>
        <w:numPr>
          <w:ilvl w:val="0"/>
          <w:numId w:val="3"/>
        </w:numPr>
        <w:spacing w:line="240" w:lineRule="auto"/>
        <w:rPr>
          <w:rFonts w:ascii="Arial" w:hAnsi="Arial" w:cs="Arial"/>
          <w:b/>
          <w:bCs/>
          <w:lang w:val="en-US"/>
        </w:rPr>
      </w:pPr>
      <w:r w:rsidRPr="001E0742">
        <w:rPr>
          <w:rFonts w:ascii="Arial" w:hAnsi="Arial" w:cs="Arial"/>
          <w:b/>
          <w:bCs/>
          <w:lang w:val="en-US"/>
        </w:rPr>
        <w:t>New mobility</w:t>
      </w:r>
    </w:p>
    <w:p w:rsidR="001E0742" w:rsidRPr="001E0742" w:rsidRDefault="001E0742" w:rsidP="001E0742">
      <w:pPr>
        <w:pStyle w:val="Odstavecseseznamem"/>
        <w:spacing w:line="240" w:lineRule="auto"/>
        <w:rPr>
          <w:rFonts w:ascii="Arial" w:hAnsi="Arial" w:cs="Arial"/>
          <w:lang w:val="en-US"/>
        </w:rPr>
      </w:pPr>
      <w:r w:rsidRPr="001E0742">
        <w:rPr>
          <w:rFonts w:ascii="Arial" w:hAnsi="Arial" w:cs="Arial"/>
          <w:lang w:val="en-US"/>
        </w:rPr>
        <w:t xml:space="preserve">At Los Angeles International </w:t>
      </w:r>
      <w:proofErr w:type="gramStart"/>
      <w:r w:rsidRPr="001E0742">
        <w:rPr>
          <w:rFonts w:ascii="Arial" w:hAnsi="Arial" w:cs="Arial"/>
          <w:lang w:val="en-US"/>
        </w:rPr>
        <w:t>Airport</w:t>
      </w:r>
      <w:proofErr w:type="gramEnd"/>
      <w:r w:rsidRPr="001E0742">
        <w:rPr>
          <w:rFonts w:ascii="Arial" w:hAnsi="Arial" w:cs="Arial"/>
          <w:lang w:val="en-US"/>
        </w:rPr>
        <w:t xml:space="preserve"> we are building an automated people mover for driverless transport of airport passengers. In Australia, the CIMIC subsidiary UGL </w:t>
      </w:r>
      <w:proofErr w:type="gramStart"/>
      <w:r w:rsidRPr="001E0742">
        <w:rPr>
          <w:rFonts w:ascii="Arial" w:hAnsi="Arial" w:cs="Arial"/>
          <w:lang w:val="en-US"/>
        </w:rPr>
        <w:t>has been awarded</w:t>
      </w:r>
      <w:proofErr w:type="gramEnd"/>
      <w:r w:rsidRPr="001E0742">
        <w:rPr>
          <w:rFonts w:ascii="Arial" w:hAnsi="Arial" w:cs="Arial"/>
          <w:lang w:val="en-US"/>
        </w:rPr>
        <w:t xml:space="preserve"> a 7-year contract to operate the backbone for a connected and intermodal network in Sydney.</w:t>
      </w:r>
    </w:p>
    <w:p w:rsidR="001E0742" w:rsidRPr="001E0742" w:rsidRDefault="001E0742" w:rsidP="001E0742">
      <w:pPr>
        <w:pStyle w:val="Odstavecseseznamem"/>
        <w:spacing w:line="240" w:lineRule="auto"/>
        <w:rPr>
          <w:rFonts w:ascii="Arial" w:hAnsi="Arial" w:cs="Arial"/>
          <w:lang w:val="en-US"/>
        </w:rPr>
      </w:pPr>
    </w:p>
    <w:p w:rsidR="001E0742" w:rsidRPr="001E0742" w:rsidRDefault="001E0742" w:rsidP="001E0742">
      <w:pPr>
        <w:pStyle w:val="Odstavecseseznamem"/>
        <w:numPr>
          <w:ilvl w:val="0"/>
          <w:numId w:val="3"/>
        </w:numPr>
        <w:spacing w:line="240" w:lineRule="auto"/>
        <w:rPr>
          <w:rFonts w:ascii="Arial" w:hAnsi="Arial" w:cs="Arial"/>
          <w:lang w:val="en-US"/>
        </w:rPr>
      </w:pPr>
      <w:r w:rsidRPr="001E0742">
        <w:rPr>
          <w:rFonts w:ascii="Arial" w:hAnsi="Arial" w:cs="Arial"/>
          <w:b/>
          <w:bCs/>
          <w:lang w:val="en-US"/>
        </w:rPr>
        <w:t>Healthcare and biopharma</w:t>
      </w:r>
      <w:r w:rsidRPr="001E0742">
        <w:rPr>
          <w:rFonts w:ascii="Arial" w:hAnsi="Arial" w:cs="Arial"/>
          <w:b/>
          <w:bCs/>
          <w:color w:val="FF0000"/>
          <w:lang w:val="en-US"/>
        </w:rPr>
        <w:br/>
      </w:r>
      <w:r w:rsidRPr="001E0742">
        <w:rPr>
          <w:rFonts w:ascii="Arial" w:hAnsi="Arial" w:cs="Arial"/>
          <w:lang w:val="en-US"/>
        </w:rPr>
        <w:t xml:space="preserve">Turner has been the number one healthcare builder in the U.S. for more than 20 years and carried out USD 2.3 </w:t>
      </w:r>
      <w:proofErr w:type="gramStart"/>
      <w:r w:rsidRPr="001E0742">
        <w:rPr>
          <w:rFonts w:ascii="Arial" w:hAnsi="Arial" w:cs="Arial"/>
          <w:lang w:val="en-US"/>
        </w:rPr>
        <w:t>billion</w:t>
      </w:r>
      <w:proofErr w:type="gramEnd"/>
      <w:r w:rsidRPr="001E0742">
        <w:rPr>
          <w:rFonts w:ascii="Arial" w:hAnsi="Arial" w:cs="Arial"/>
          <w:lang w:val="en-US"/>
        </w:rPr>
        <w:t xml:space="preserve"> in healthcare construction during 2022. In </w:t>
      </w:r>
      <w:proofErr w:type="gramStart"/>
      <w:r w:rsidRPr="001E0742">
        <w:rPr>
          <w:rFonts w:ascii="Arial" w:hAnsi="Arial" w:cs="Arial"/>
          <w:lang w:val="en-US"/>
        </w:rPr>
        <w:t>Australia</w:t>
      </w:r>
      <w:proofErr w:type="gramEnd"/>
      <w:r w:rsidRPr="001E0742">
        <w:rPr>
          <w:rFonts w:ascii="Arial" w:hAnsi="Arial" w:cs="Arial"/>
          <w:lang w:val="en-US"/>
        </w:rPr>
        <w:t xml:space="preserve"> we have been selected for the early contractor involvement phase for the redevelopment of Sydney’s Royal Prince Alfred Hospital as well as the main works on the Nepean Hospital Redevelopment. Recently Turner has been awarded a contract to build a USD 725 </w:t>
      </w:r>
      <w:proofErr w:type="gramStart"/>
      <w:r w:rsidRPr="001E0742">
        <w:rPr>
          <w:rFonts w:ascii="Arial" w:hAnsi="Arial" w:cs="Arial"/>
          <w:lang w:val="en-US"/>
        </w:rPr>
        <w:t>million biopharma</w:t>
      </w:r>
      <w:proofErr w:type="gramEnd"/>
      <w:r w:rsidRPr="001E0742">
        <w:rPr>
          <w:rFonts w:ascii="Arial" w:hAnsi="Arial" w:cs="Arial"/>
          <w:lang w:val="en-US"/>
        </w:rPr>
        <w:t xml:space="preserve"> plant in Colorado producing Oligonucleotides which help treat cancer and cardiovascular disease. </w:t>
      </w: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An active evaluation of </w:t>
      </w:r>
      <w:r w:rsidRPr="001E0742">
        <w:rPr>
          <w:rFonts w:ascii="Arial" w:hAnsi="Arial"/>
          <w:b/>
          <w:bCs/>
          <w:sz w:val="22"/>
          <w:szCs w:val="22"/>
          <w:lang w:val="en-US"/>
        </w:rPr>
        <w:t>capital allocation</w:t>
      </w:r>
      <w:r w:rsidRPr="001E0742">
        <w:rPr>
          <w:rFonts w:ascii="Arial" w:hAnsi="Arial"/>
          <w:sz w:val="22"/>
          <w:szCs w:val="22"/>
          <w:lang w:val="en-US"/>
        </w:rPr>
        <w:t xml:space="preserve"> options is a key ingredient of the Group’s strategy to support HOCHTIEF’s diversification, simplification and growth as well as our expertise in high-tech infrastructure. Investments made during 2022 included strategic acquisitions:</w:t>
      </w:r>
    </w:p>
    <w:p w:rsidR="001E0742" w:rsidRPr="001E0742" w:rsidRDefault="001E0742" w:rsidP="001E0742">
      <w:pPr>
        <w:pStyle w:val="Odstavecseseznamem"/>
        <w:numPr>
          <w:ilvl w:val="0"/>
          <w:numId w:val="4"/>
        </w:numPr>
        <w:spacing w:line="240" w:lineRule="auto"/>
        <w:rPr>
          <w:rFonts w:ascii="Arial" w:hAnsi="Arial" w:cs="Arial"/>
          <w:lang w:val="en-US"/>
        </w:rPr>
      </w:pPr>
      <w:r w:rsidRPr="001E0742">
        <w:rPr>
          <w:rFonts w:ascii="Arial" w:hAnsi="Arial" w:cs="Arial"/>
          <w:lang w:val="en-US"/>
        </w:rPr>
        <w:lastRenderedPageBreak/>
        <w:t xml:space="preserve">In June HOCHTIEF took a significant step forward in simplifying the corporate structure when the Group achieved 100% ownership of CIMIC Group Limited </w:t>
      </w:r>
      <w:proofErr w:type="gramStart"/>
      <w:r w:rsidRPr="001E0742">
        <w:rPr>
          <w:rFonts w:ascii="Arial" w:hAnsi="Arial" w:cs="Arial"/>
          <w:lang w:val="en-US"/>
        </w:rPr>
        <w:t>as a result</w:t>
      </w:r>
      <w:proofErr w:type="gramEnd"/>
      <w:r w:rsidRPr="001E0742">
        <w:rPr>
          <w:rFonts w:ascii="Arial" w:hAnsi="Arial" w:cs="Arial"/>
          <w:lang w:val="en-US"/>
        </w:rPr>
        <w:t xml:space="preserve"> of the takeover offer launched on February 23 for the 21.4% free-float minority shares of the Australian company. The EUR 940 million investment </w:t>
      </w:r>
      <w:proofErr w:type="gramStart"/>
      <w:r w:rsidRPr="001E0742">
        <w:rPr>
          <w:rFonts w:ascii="Arial" w:hAnsi="Arial" w:cs="Arial"/>
          <w:lang w:val="en-US"/>
        </w:rPr>
        <w:t>was partly financed</w:t>
      </w:r>
      <w:proofErr w:type="gramEnd"/>
      <w:r w:rsidRPr="001E0742">
        <w:rPr>
          <w:rFonts w:ascii="Arial" w:hAnsi="Arial" w:cs="Arial"/>
          <w:lang w:val="en-US"/>
        </w:rPr>
        <w:t xml:space="preserve"> via a EUR 406 million, 10% capital increase in June.</w:t>
      </w:r>
    </w:p>
    <w:p w:rsidR="001E0742" w:rsidRPr="001E0742" w:rsidRDefault="001E0742" w:rsidP="001E0742">
      <w:pPr>
        <w:pStyle w:val="Odstavecseseznamem"/>
        <w:numPr>
          <w:ilvl w:val="0"/>
          <w:numId w:val="4"/>
        </w:numPr>
        <w:spacing w:line="240" w:lineRule="auto"/>
        <w:rPr>
          <w:rFonts w:ascii="Arial" w:hAnsi="Arial" w:cs="Arial"/>
          <w:lang w:val="en-US"/>
        </w:rPr>
      </w:pPr>
      <w:r w:rsidRPr="001E0742">
        <w:rPr>
          <w:rFonts w:ascii="Arial" w:hAnsi="Arial" w:cs="Arial"/>
          <w:lang w:val="en-US"/>
        </w:rPr>
        <w:t xml:space="preserve">During the fourth quarter, an AUD 372 </w:t>
      </w:r>
      <w:proofErr w:type="gramStart"/>
      <w:r w:rsidRPr="001E0742">
        <w:rPr>
          <w:rFonts w:ascii="Arial" w:hAnsi="Arial" w:cs="Arial"/>
          <w:lang w:val="en-US"/>
        </w:rPr>
        <w:t>million</w:t>
      </w:r>
      <w:proofErr w:type="gramEnd"/>
      <w:r w:rsidRPr="001E0742">
        <w:rPr>
          <w:rFonts w:ascii="Arial" w:hAnsi="Arial" w:cs="Arial"/>
          <w:lang w:val="en-US"/>
        </w:rPr>
        <w:t xml:space="preserve"> offer made by Thiess, a CIMIC joint venture, for 100% of Australian resources company MACA, was successfully completed. The acquisition of MACA supports Thiess’ strategy to diversify its operations across commodities and services as well as geographies.</w:t>
      </w:r>
    </w:p>
    <w:p w:rsidR="001E0742" w:rsidRPr="001E0742" w:rsidRDefault="001E0742" w:rsidP="001E0742">
      <w:pPr>
        <w:rPr>
          <w:rFonts w:ascii="Arial" w:hAnsi="Arial"/>
          <w:sz w:val="22"/>
          <w:szCs w:val="22"/>
          <w:lang w:val="en-US"/>
        </w:rPr>
      </w:pPr>
      <w:proofErr w:type="gramStart"/>
      <w:r w:rsidRPr="001E0742">
        <w:rPr>
          <w:rFonts w:ascii="Arial" w:hAnsi="Arial"/>
          <w:sz w:val="22"/>
          <w:szCs w:val="22"/>
          <w:lang w:val="en-US"/>
        </w:rPr>
        <w:t>As a consequence</w:t>
      </w:r>
      <w:proofErr w:type="gramEnd"/>
      <w:r w:rsidRPr="001E0742">
        <w:rPr>
          <w:rFonts w:ascii="Arial" w:hAnsi="Arial"/>
          <w:sz w:val="22"/>
          <w:szCs w:val="22"/>
          <w:lang w:val="en-US"/>
        </w:rPr>
        <w:t xml:space="preserve"> of HOCHTIEF’s strong performance the </w:t>
      </w:r>
      <w:r w:rsidRPr="001E0742">
        <w:rPr>
          <w:rFonts w:ascii="Arial" w:hAnsi="Arial"/>
          <w:b/>
          <w:bCs/>
          <w:sz w:val="22"/>
          <w:szCs w:val="22"/>
          <w:lang w:val="en-US"/>
        </w:rPr>
        <w:t>proposed dividend</w:t>
      </w:r>
      <w:r w:rsidRPr="001E0742">
        <w:rPr>
          <w:rFonts w:ascii="Arial" w:hAnsi="Arial"/>
          <w:sz w:val="22"/>
          <w:szCs w:val="22"/>
          <w:lang w:val="en-US"/>
        </w:rPr>
        <w:t xml:space="preserve"> for 2022 is EUR 4.00 per share, compared with EUR 1.91 per share for 2021. This represents an approximately 65% payout on the nominal net profit for the year or over EUR 310 million. Looking forward, shareholder remuneration will remain a management priority.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r w:rsidRPr="001E0742">
        <w:rPr>
          <w:rFonts w:ascii="Arial" w:hAnsi="Arial"/>
          <w:b/>
          <w:bCs/>
          <w:sz w:val="22"/>
          <w:szCs w:val="22"/>
          <w:lang w:val="en-US"/>
        </w:rPr>
        <w:t>Environmental, social and governance</w:t>
      </w:r>
      <w:r w:rsidRPr="001E0742">
        <w:rPr>
          <w:rFonts w:ascii="Arial" w:hAnsi="Arial"/>
          <w:sz w:val="22"/>
          <w:szCs w:val="22"/>
          <w:lang w:val="en-US"/>
        </w:rPr>
        <w:t xml:space="preserve">, ESG, is another strategic priority for the management. In </w:t>
      </w:r>
      <w:proofErr w:type="gramStart"/>
      <w:r w:rsidRPr="001E0742">
        <w:rPr>
          <w:rFonts w:ascii="Arial" w:hAnsi="Arial"/>
          <w:sz w:val="22"/>
          <w:szCs w:val="22"/>
          <w:lang w:val="en-US"/>
        </w:rPr>
        <w:t>2022</w:t>
      </w:r>
      <w:proofErr w:type="gramEnd"/>
      <w:r w:rsidRPr="001E0742">
        <w:rPr>
          <w:rFonts w:ascii="Arial" w:hAnsi="Arial"/>
          <w:sz w:val="22"/>
          <w:szCs w:val="22"/>
          <w:lang w:val="en-US"/>
        </w:rPr>
        <w:t xml:space="preserve"> HOCHTIEF published its Sustainability Plan 2025 with the commitment to be climate-neutral by 2045. The sustainability performance already puts the Group amongst the leading companies in the industry. HOCHTIEF subsidiary Turner </w:t>
      </w:r>
      <w:proofErr w:type="gramStart"/>
      <w:r w:rsidRPr="001E0742">
        <w:rPr>
          <w:rFonts w:ascii="Arial" w:hAnsi="Arial"/>
          <w:sz w:val="22"/>
          <w:szCs w:val="22"/>
          <w:lang w:val="en-US"/>
        </w:rPr>
        <w:t>has once again been recognized</w:t>
      </w:r>
      <w:proofErr w:type="gramEnd"/>
      <w:r w:rsidRPr="001E0742">
        <w:rPr>
          <w:rFonts w:ascii="Arial" w:hAnsi="Arial"/>
          <w:sz w:val="22"/>
          <w:szCs w:val="22"/>
          <w:lang w:val="en-US"/>
        </w:rPr>
        <w:t xml:space="preserve"> as the largest green builder in the United States whilst in Australia CIMIC is one of the leading providers of sustainable infrastructure projects. HOCHTIEF Europe has won numerous ESG awards for outstanding projects last year. </w:t>
      </w:r>
      <w:proofErr w:type="gramStart"/>
      <w:r w:rsidRPr="001E0742">
        <w:rPr>
          <w:rFonts w:ascii="Arial" w:hAnsi="Arial"/>
          <w:sz w:val="22"/>
          <w:szCs w:val="22"/>
          <w:lang w:val="en-US"/>
        </w:rPr>
        <w:t>Overall</w:t>
      </w:r>
      <w:proofErr w:type="gramEnd"/>
      <w:r w:rsidRPr="001E0742">
        <w:rPr>
          <w:rFonts w:ascii="Arial" w:hAnsi="Arial"/>
          <w:sz w:val="22"/>
          <w:szCs w:val="22"/>
          <w:lang w:val="en-US"/>
        </w:rPr>
        <w:t xml:space="preserve"> the HOCHTIEF Group delivered EUR 11.8 billion of certified green projects last year. In 2022, for the 17th year in a row, HOCHTIEF was included in the internationally recognized Dow Jones Sustainability Index. On this </w:t>
      </w:r>
      <w:proofErr w:type="gramStart"/>
      <w:r w:rsidRPr="001E0742">
        <w:rPr>
          <w:rFonts w:ascii="Arial" w:hAnsi="Arial"/>
          <w:sz w:val="22"/>
          <w:szCs w:val="22"/>
          <w:lang w:val="en-US"/>
        </w:rPr>
        <w:t>occasion</w:t>
      </w:r>
      <w:proofErr w:type="gramEnd"/>
      <w:r w:rsidRPr="001E0742">
        <w:rPr>
          <w:rFonts w:ascii="Arial" w:hAnsi="Arial"/>
          <w:sz w:val="22"/>
          <w:szCs w:val="22"/>
          <w:lang w:val="en-US"/>
        </w:rPr>
        <w:t xml:space="preserve"> HOCHTIEF received the highest sustainability score worldwide in the “Construction &amp; Engineering” sector of the Dow Jones Sustainability World Index (DJSI). Moreover, HOCHTIEF ranks very positively with ESG rating agencies such as </w:t>
      </w:r>
      <w:proofErr w:type="spellStart"/>
      <w:r w:rsidRPr="001E0742">
        <w:rPr>
          <w:rFonts w:ascii="Arial" w:hAnsi="Arial"/>
          <w:sz w:val="22"/>
          <w:szCs w:val="22"/>
          <w:lang w:val="en-US"/>
        </w:rPr>
        <w:t>Sustainalytics</w:t>
      </w:r>
      <w:proofErr w:type="spellEnd"/>
      <w:r w:rsidRPr="001E0742">
        <w:rPr>
          <w:rFonts w:ascii="Arial" w:hAnsi="Arial"/>
          <w:sz w:val="22"/>
          <w:szCs w:val="22"/>
          <w:lang w:val="en-US"/>
        </w:rPr>
        <w:t xml:space="preserve"> and MSCI. </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b/>
          <w:bCs/>
          <w:sz w:val="22"/>
          <w:szCs w:val="22"/>
          <w:lang w:val="en-US"/>
        </w:rPr>
      </w:pPr>
      <w:r w:rsidRPr="001E0742">
        <w:rPr>
          <w:rFonts w:ascii="Arial" w:hAnsi="Arial"/>
          <w:b/>
          <w:bCs/>
          <w:sz w:val="22"/>
          <w:szCs w:val="22"/>
          <w:lang w:val="en-US"/>
        </w:rPr>
        <w:t>Group Outlook</w:t>
      </w:r>
    </w:p>
    <w:p w:rsidR="001E0742" w:rsidRPr="001E0742" w:rsidRDefault="001E0742" w:rsidP="001E0742">
      <w:pPr>
        <w:rPr>
          <w:rFonts w:ascii="Arial" w:hAnsi="Arial"/>
          <w:sz w:val="22"/>
          <w:szCs w:val="22"/>
          <w:lang w:val="en-US"/>
        </w:rPr>
      </w:pPr>
      <w:r w:rsidRPr="001E0742">
        <w:rPr>
          <w:rFonts w:ascii="Arial" w:hAnsi="Arial"/>
          <w:sz w:val="22"/>
          <w:szCs w:val="22"/>
          <w:lang w:val="en-US"/>
        </w:rPr>
        <w:t xml:space="preserve">For </w:t>
      </w:r>
      <w:proofErr w:type="gramStart"/>
      <w:r w:rsidRPr="001E0742">
        <w:rPr>
          <w:rFonts w:ascii="Arial" w:hAnsi="Arial"/>
          <w:sz w:val="22"/>
          <w:szCs w:val="22"/>
          <w:lang w:val="en-US"/>
        </w:rPr>
        <w:t>2023</w:t>
      </w:r>
      <w:proofErr w:type="gramEnd"/>
      <w:r w:rsidRPr="001E0742">
        <w:rPr>
          <w:rFonts w:ascii="Arial" w:hAnsi="Arial"/>
          <w:sz w:val="22"/>
          <w:szCs w:val="22"/>
          <w:lang w:val="en-US"/>
        </w:rPr>
        <w:t xml:space="preserve"> our guidance is for an operational net profit of between EUR 510–550 million subject to market conditions.</w:t>
      </w: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sz w:val="22"/>
          <w:szCs w:val="22"/>
          <w:lang w:val="en-US"/>
        </w:rPr>
      </w:pPr>
    </w:p>
    <w:p w:rsidR="001E0742" w:rsidRPr="001E0742" w:rsidRDefault="001E0742" w:rsidP="001E0742">
      <w:pPr>
        <w:rPr>
          <w:rFonts w:ascii="Arial" w:hAnsi="Arial"/>
          <w:b/>
          <w:bCs/>
          <w:sz w:val="24"/>
          <w:szCs w:val="24"/>
          <w:lang w:val="en-US"/>
        </w:rPr>
      </w:pPr>
      <w:r w:rsidRPr="001E0742">
        <w:rPr>
          <w:rFonts w:ascii="Arial" w:hAnsi="Arial"/>
          <w:b/>
          <w:bCs/>
          <w:sz w:val="24"/>
          <w:szCs w:val="24"/>
          <w:lang w:val="en-US"/>
        </w:rPr>
        <w:t>HOCHTIEF Group: Key Figures</w:t>
      </w:r>
    </w:p>
    <w:p w:rsidR="001E0742" w:rsidRPr="001E0742" w:rsidRDefault="001E0742" w:rsidP="001E0742">
      <w:pPr>
        <w:rPr>
          <w:rFonts w:ascii="Arial" w:hAnsi="Arial"/>
          <w:b/>
          <w:bCs/>
          <w:sz w:val="24"/>
          <w:szCs w:val="24"/>
          <w:lang w:val="en-US"/>
        </w:rPr>
      </w:pPr>
    </w:p>
    <w:tbl>
      <w:tblPr>
        <w:tblW w:w="0" w:type="dxa"/>
        <w:tblInd w:w="5" w:type="dxa"/>
        <w:tblCellMar>
          <w:left w:w="0" w:type="dxa"/>
          <w:right w:w="0" w:type="dxa"/>
        </w:tblCellMar>
        <w:tblLook w:val="04A0" w:firstRow="1" w:lastRow="0" w:firstColumn="1" w:lastColumn="0" w:noHBand="0" w:noVBand="1"/>
      </w:tblPr>
      <w:tblGrid>
        <w:gridCol w:w="3402"/>
        <w:gridCol w:w="856"/>
        <w:gridCol w:w="847"/>
        <w:gridCol w:w="865"/>
        <w:gridCol w:w="856"/>
        <w:gridCol w:w="856"/>
        <w:gridCol w:w="902"/>
      </w:tblGrid>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vAlign w:val="bottom"/>
            <w:hideMark/>
          </w:tcPr>
          <w:p w:rsidR="001E0742" w:rsidRPr="001E0742" w:rsidRDefault="001E0742">
            <w:pPr>
              <w:rPr>
                <w:rFonts w:ascii="Arial" w:hAnsi="Arial"/>
                <w:lang w:eastAsia="de-DE"/>
              </w:rPr>
            </w:pPr>
            <w:r w:rsidRPr="001E0742">
              <w:rPr>
                <w:rFonts w:ascii="Arial" w:hAnsi="Arial"/>
                <w:lang w:eastAsia="de-DE"/>
              </w:rPr>
              <w:t xml:space="preserve">(EUR </w:t>
            </w:r>
            <w:proofErr w:type="spellStart"/>
            <w:r w:rsidRPr="001E0742">
              <w:rPr>
                <w:rFonts w:ascii="Arial" w:hAnsi="Arial"/>
                <w:lang w:eastAsia="de-DE"/>
              </w:rPr>
              <w:t>million</w:t>
            </w:r>
            <w:proofErr w:type="spellEnd"/>
            <w:r w:rsidRPr="001E0742">
              <w:rPr>
                <w:rFonts w:ascii="Arial" w:hAnsi="Arial"/>
                <w:lang w:eastAsia="de-DE"/>
              </w:rPr>
              <w:t>)</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br/>
              <w:t xml:space="preserve">FY </w:t>
            </w:r>
            <w:r w:rsidRPr="001E0742">
              <w:rPr>
                <w:rFonts w:ascii="Arial" w:hAnsi="Arial"/>
                <w:b/>
                <w:bCs/>
                <w:lang w:eastAsia="de-DE"/>
              </w:rPr>
              <w:br/>
              <w:t>2022</w:t>
            </w:r>
          </w:p>
        </w:tc>
        <w:tc>
          <w:tcPr>
            <w:tcW w:w="847" w:type="dxa"/>
            <w:tcBorders>
              <w:top w:val="nil"/>
              <w:left w:val="nil"/>
              <w:bottom w:val="single" w:sz="8" w:space="0" w:color="auto"/>
              <w:right w:val="nil"/>
            </w:tcBorders>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br/>
              <w:t>FY</w:t>
            </w:r>
          </w:p>
          <w:p w:rsidR="001E0742" w:rsidRPr="001E0742" w:rsidRDefault="001E0742">
            <w:pPr>
              <w:jc w:val="right"/>
              <w:rPr>
                <w:rFonts w:ascii="Arial" w:hAnsi="Arial"/>
                <w:b/>
                <w:bCs/>
                <w:lang w:eastAsia="de-DE"/>
              </w:rPr>
            </w:pPr>
            <w:r w:rsidRPr="001E0742">
              <w:rPr>
                <w:rFonts w:ascii="Arial" w:hAnsi="Arial"/>
                <w:b/>
                <w:bCs/>
                <w:lang w:eastAsia="de-DE"/>
              </w:rPr>
              <w:t>2021</w:t>
            </w:r>
          </w:p>
        </w:tc>
        <w:tc>
          <w:tcPr>
            <w:tcW w:w="865" w:type="dxa"/>
            <w:tcBorders>
              <w:top w:val="nil"/>
              <w:left w:val="nil"/>
              <w:bottom w:val="single" w:sz="8" w:space="0" w:color="auto"/>
              <w:right w:val="nil"/>
            </w:tcBorders>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t>FY</w:t>
            </w:r>
          </w:p>
          <w:p w:rsidR="001E0742" w:rsidRPr="001E0742" w:rsidRDefault="001E0742">
            <w:pPr>
              <w:jc w:val="right"/>
              <w:rPr>
                <w:rFonts w:ascii="Arial" w:hAnsi="Arial"/>
                <w:b/>
                <w:bCs/>
                <w:lang w:eastAsia="de-DE"/>
              </w:rPr>
            </w:pPr>
            <w:proofErr w:type="spellStart"/>
            <w:r w:rsidRPr="001E0742">
              <w:rPr>
                <w:rFonts w:ascii="Arial" w:hAnsi="Arial"/>
                <w:b/>
                <w:bCs/>
                <w:lang w:eastAsia="de-DE"/>
              </w:rPr>
              <w:t>Change</w:t>
            </w:r>
            <w:proofErr w:type="spellEnd"/>
          </w:p>
        </w:tc>
        <w:tc>
          <w:tcPr>
            <w:tcW w:w="856" w:type="dxa"/>
            <w:tcBorders>
              <w:top w:val="nil"/>
              <w:left w:val="nil"/>
              <w:bottom w:val="single" w:sz="8" w:space="0" w:color="auto"/>
              <w:right w:val="nil"/>
            </w:tcBorders>
            <w:shd w:val="clear" w:color="auto" w:fill="F2F2F2"/>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br/>
              <w:t xml:space="preserve">Q4 </w:t>
            </w:r>
            <w:r w:rsidRPr="001E0742">
              <w:rPr>
                <w:rFonts w:ascii="Arial" w:hAnsi="Arial"/>
                <w:b/>
                <w:bCs/>
                <w:lang w:eastAsia="de-DE"/>
              </w:rPr>
              <w:br/>
              <w:t>2022</w:t>
            </w:r>
          </w:p>
        </w:tc>
        <w:tc>
          <w:tcPr>
            <w:tcW w:w="856" w:type="dxa"/>
            <w:tcBorders>
              <w:top w:val="nil"/>
              <w:left w:val="nil"/>
              <w:bottom w:val="single" w:sz="8" w:space="0" w:color="auto"/>
              <w:right w:val="nil"/>
            </w:tcBorders>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br/>
              <w:t>Q4</w:t>
            </w:r>
          </w:p>
          <w:p w:rsidR="001E0742" w:rsidRPr="001E0742" w:rsidRDefault="001E0742">
            <w:pPr>
              <w:jc w:val="right"/>
              <w:rPr>
                <w:rFonts w:ascii="Arial" w:hAnsi="Arial"/>
                <w:b/>
                <w:bCs/>
                <w:lang w:eastAsia="de-DE"/>
              </w:rPr>
            </w:pPr>
            <w:r w:rsidRPr="001E0742">
              <w:rPr>
                <w:rFonts w:ascii="Arial" w:hAnsi="Arial"/>
                <w:b/>
                <w:bCs/>
                <w:lang w:eastAsia="de-DE"/>
              </w:rPr>
              <w:t>2021</w:t>
            </w:r>
          </w:p>
        </w:tc>
        <w:tc>
          <w:tcPr>
            <w:tcW w:w="856" w:type="dxa"/>
            <w:tcBorders>
              <w:top w:val="nil"/>
              <w:left w:val="nil"/>
              <w:bottom w:val="single" w:sz="8" w:space="0" w:color="auto"/>
              <w:right w:val="nil"/>
            </w:tcBorders>
            <w:tcMar>
              <w:top w:w="0" w:type="dxa"/>
              <w:left w:w="28" w:type="dxa"/>
              <w:bottom w:w="0" w:type="dxa"/>
              <w:right w:w="28" w:type="dxa"/>
            </w:tcMar>
            <w:vAlign w:val="bottom"/>
            <w:hideMark/>
          </w:tcPr>
          <w:p w:rsidR="001E0742" w:rsidRPr="001E0742" w:rsidRDefault="001E0742">
            <w:pPr>
              <w:jc w:val="right"/>
              <w:rPr>
                <w:rFonts w:ascii="Arial" w:hAnsi="Arial"/>
                <w:b/>
                <w:bCs/>
                <w:lang w:eastAsia="de-DE"/>
              </w:rPr>
            </w:pPr>
            <w:r w:rsidRPr="001E0742">
              <w:rPr>
                <w:rFonts w:ascii="Arial" w:hAnsi="Arial"/>
                <w:b/>
                <w:bCs/>
                <w:lang w:eastAsia="de-DE"/>
              </w:rPr>
              <w:t>Q4</w:t>
            </w:r>
          </w:p>
          <w:p w:rsidR="001E0742" w:rsidRPr="001E0742" w:rsidRDefault="001E0742">
            <w:pPr>
              <w:jc w:val="right"/>
              <w:rPr>
                <w:rFonts w:ascii="Arial" w:hAnsi="Arial"/>
                <w:b/>
                <w:bCs/>
                <w:lang w:eastAsia="de-DE"/>
              </w:rPr>
            </w:pPr>
            <w:proofErr w:type="spellStart"/>
            <w:r w:rsidRPr="001E0742">
              <w:rPr>
                <w:rFonts w:ascii="Arial" w:hAnsi="Arial"/>
                <w:b/>
                <w:bCs/>
                <w:lang w:eastAsia="de-DE"/>
              </w:rPr>
              <w:t>Change</w:t>
            </w:r>
            <w:proofErr w:type="spellEnd"/>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Sales</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26,219.3</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21,377.9</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22.6%</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7,095.7</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5,789.3</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22.6%</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Operational</w:t>
            </w:r>
            <w:proofErr w:type="spellEnd"/>
            <w:r w:rsidRPr="001E0742">
              <w:rPr>
                <w:rFonts w:ascii="Arial" w:hAnsi="Arial"/>
                <w:b/>
                <w:bCs/>
                <w:lang w:eastAsia="de-DE"/>
              </w:rPr>
              <w:t xml:space="preserve"> profit </w:t>
            </w:r>
            <w:proofErr w:type="spellStart"/>
            <w:r w:rsidRPr="001E0742">
              <w:rPr>
                <w:rFonts w:ascii="Arial" w:hAnsi="Arial"/>
                <w:b/>
                <w:bCs/>
                <w:lang w:eastAsia="de-DE"/>
              </w:rPr>
              <w:t>before</w:t>
            </w:r>
            <w:proofErr w:type="spellEnd"/>
            <w:r w:rsidRPr="001E0742">
              <w:rPr>
                <w:rFonts w:ascii="Arial" w:hAnsi="Arial"/>
                <w:b/>
                <w:bCs/>
                <w:lang w:eastAsia="de-DE"/>
              </w:rPr>
              <w:t xml:space="preserve"> tax/PBT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733.1</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709.6</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3.3%</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187.0</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217.3</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-13.9%</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Operational</w:t>
            </w:r>
            <w:proofErr w:type="spellEnd"/>
            <w:r w:rsidRPr="001E0742">
              <w:rPr>
                <w:rFonts w:ascii="Arial" w:hAnsi="Arial"/>
                <w:b/>
                <w:bCs/>
                <w:lang w:eastAsia="de-DE"/>
              </w:rPr>
              <w:t xml:space="preserve"> PBT </w:t>
            </w:r>
            <w:proofErr w:type="spellStart"/>
            <w:r w:rsidRPr="001E0742">
              <w:rPr>
                <w:rFonts w:ascii="Arial" w:hAnsi="Arial"/>
                <w:b/>
                <w:bCs/>
                <w:lang w:eastAsia="de-DE"/>
              </w:rPr>
              <w:t>margin</w:t>
            </w:r>
            <w:proofErr w:type="spellEnd"/>
            <w:r w:rsidRPr="001E0742">
              <w:rPr>
                <w:rFonts w:ascii="Arial" w:hAnsi="Arial"/>
                <w:b/>
                <w:bCs/>
                <w:lang w:eastAsia="de-DE"/>
              </w:rPr>
              <w:t xml:space="preserve"> in %</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2.8</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3.3</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(0.5)</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2.6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3.8</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(1.2)</w:t>
            </w:r>
          </w:p>
        </w:tc>
      </w:tr>
      <w:tr w:rsidR="001E0742" w:rsidRPr="001E0742" w:rsidTr="001E0742">
        <w:trPr>
          <w:trHeight w:val="340"/>
        </w:trPr>
        <w:tc>
          <w:tcPr>
            <w:tcW w:w="3402"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Operational</w:t>
            </w:r>
            <w:proofErr w:type="spellEnd"/>
            <w:r w:rsidRPr="001E0742">
              <w:rPr>
                <w:rFonts w:ascii="Arial" w:hAnsi="Arial"/>
                <w:b/>
                <w:bCs/>
                <w:lang w:eastAsia="de-DE"/>
              </w:rPr>
              <w:t xml:space="preserve"> </w:t>
            </w:r>
            <w:proofErr w:type="spellStart"/>
            <w:r w:rsidRPr="001E0742">
              <w:rPr>
                <w:rFonts w:ascii="Arial" w:hAnsi="Arial"/>
                <w:b/>
                <w:bCs/>
                <w:lang w:eastAsia="de-DE"/>
              </w:rPr>
              <w:t>net</w:t>
            </w:r>
            <w:proofErr w:type="spellEnd"/>
            <w:r w:rsidRPr="001E0742">
              <w:rPr>
                <w:rFonts w:ascii="Arial" w:hAnsi="Arial"/>
                <w:b/>
                <w:bCs/>
                <w:lang w:eastAsia="de-DE"/>
              </w:rPr>
              <w:t xml:space="preserve"> profit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521.5</w:t>
            </w:r>
          </w:p>
        </w:tc>
        <w:tc>
          <w:tcPr>
            <w:tcW w:w="847"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453.7</w:t>
            </w:r>
          </w:p>
        </w:tc>
        <w:tc>
          <w:tcPr>
            <w:tcW w:w="865"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14.9%</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140.8</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131.5</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7.1%</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Operational</w:t>
            </w:r>
            <w:proofErr w:type="spellEnd"/>
            <w:r w:rsidRPr="001E0742">
              <w:rPr>
                <w:rFonts w:ascii="Arial" w:hAnsi="Arial"/>
                <w:b/>
                <w:bCs/>
                <w:lang w:eastAsia="de-DE"/>
              </w:rPr>
              <w:t xml:space="preserve"> </w:t>
            </w:r>
            <w:proofErr w:type="spellStart"/>
            <w:r w:rsidRPr="001E0742">
              <w:rPr>
                <w:rFonts w:ascii="Arial" w:hAnsi="Arial"/>
                <w:b/>
                <w:bCs/>
                <w:lang w:eastAsia="de-DE"/>
              </w:rPr>
              <w:t>earnings</w:t>
            </w:r>
            <w:proofErr w:type="spellEnd"/>
            <w:r w:rsidRPr="001E0742">
              <w:rPr>
                <w:rFonts w:ascii="Arial" w:hAnsi="Arial"/>
                <w:b/>
                <w:bCs/>
                <w:lang w:eastAsia="de-DE"/>
              </w:rPr>
              <w:t xml:space="preserve"> per </w:t>
            </w:r>
            <w:proofErr w:type="spellStart"/>
            <w:r w:rsidRPr="001E0742">
              <w:rPr>
                <w:rFonts w:ascii="Arial" w:hAnsi="Arial"/>
                <w:b/>
                <w:bCs/>
                <w:lang w:eastAsia="de-DE"/>
              </w:rPr>
              <w:t>share</w:t>
            </w:r>
            <w:proofErr w:type="spellEnd"/>
            <w:r w:rsidRPr="001E0742">
              <w:rPr>
                <w:rFonts w:ascii="Arial" w:hAnsi="Arial"/>
                <w:b/>
                <w:bCs/>
                <w:lang w:eastAsia="de-DE"/>
              </w:rPr>
              <w:t xml:space="preserve"> (EUR)</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7.24</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6.65</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8.9%</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1.87</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1.93</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-3.1%</w:t>
            </w:r>
          </w:p>
        </w:tc>
      </w:tr>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lang w:eastAsia="de-DE"/>
              </w:rPr>
            </w:pP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vAlign w:val="center"/>
          </w:tcPr>
          <w:p w:rsidR="001E0742" w:rsidRPr="001E0742" w:rsidRDefault="001E0742">
            <w:pPr>
              <w:jc w:val="right"/>
              <w:rPr>
                <w:rFonts w:ascii="Arial" w:hAnsi="Arial"/>
                <w:b/>
                <w:bCs/>
                <w:highlight w:val="yellow"/>
                <w:lang w:eastAsia="de-DE"/>
              </w:rPr>
            </w:pPr>
          </w:p>
        </w:tc>
        <w:tc>
          <w:tcPr>
            <w:tcW w:w="847" w:type="dxa"/>
            <w:tcBorders>
              <w:top w:val="nil"/>
              <w:left w:val="nil"/>
              <w:bottom w:val="single" w:sz="8" w:space="0" w:color="auto"/>
              <w:right w:val="nil"/>
            </w:tcBorders>
            <w:noWrap/>
            <w:tcMar>
              <w:top w:w="0" w:type="dxa"/>
              <w:left w:w="28" w:type="dxa"/>
              <w:bottom w:w="0" w:type="dxa"/>
              <w:right w:w="28" w:type="dxa"/>
            </w:tcMar>
            <w:vAlign w:val="center"/>
          </w:tcPr>
          <w:p w:rsidR="001E0742" w:rsidRPr="001E0742" w:rsidRDefault="001E0742">
            <w:pPr>
              <w:jc w:val="right"/>
              <w:rPr>
                <w:rFonts w:ascii="Arial" w:hAnsi="Arial"/>
                <w:highlight w:val="yellow"/>
                <w:lang w:eastAsia="de-DE"/>
              </w:rPr>
            </w:pPr>
          </w:p>
        </w:tc>
        <w:tc>
          <w:tcPr>
            <w:tcW w:w="865" w:type="dxa"/>
            <w:tcBorders>
              <w:top w:val="nil"/>
              <w:left w:val="nil"/>
              <w:bottom w:val="single" w:sz="8" w:space="0" w:color="auto"/>
              <w:right w:val="nil"/>
            </w:tcBorders>
            <w:noWrap/>
            <w:tcMar>
              <w:top w:w="0" w:type="dxa"/>
              <w:left w:w="28" w:type="dxa"/>
              <w:bottom w:w="0" w:type="dxa"/>
              <w:right w:w="28" w:type="dxa"/>
            </w:tcMar>
            <w:vAlign w:val="cente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shd w:val="clear" w:color="auto" w:fill="F2F2F2"/>
            <w:tcMar>
              <w:top w:w="0" w:type="dxa"/>
              <w:left w:w="28" w:type="dxa"/>
              <w:bottom w:w="0" w:type="dxa"/>
              <w:right w:w="28" w:type="dxa"/>
            </w:tcMar>
            <w:vAlign w:val="cente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vAlign w:val="cente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vAlign w:val="center"/>
          </w:tcPr>
          <w:p w:rsidR="001E0742" w:rsidRPr="001E0742" w:rsidRDefault="001E0742">
            <w:pPr>
              <w:jc w:val="right"/>
              <w:rPr>
                <w:rFonts w:ascii="Arial" w:hAnsi="Arial"/>
                <w:highlight w:val="yellow"/>
                <w:lang w:eastAsia="de-DE"/>
              </w:rPr>
            </w:pP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EBITDA</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1,184.5</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1,070.7</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10.6%</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321.2</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286.3</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12.2%</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EBITDA </w:t>
            </w:r>
            <w:proofErr w:type="spellStart"/>
            <w:r w:rsidRPr="001E0742">
              <w:rPr>
                <w:rFonts w:ascii="Arial" w:hAnsi="Arial"/>
                <w:b/>
                <w:bCs/>
                <w:lang w:eastAsia="de-DE"/>
              </w:rPr>
              <w:t>margin</w:t>
            </w:r>
            <w:proofErr w:type="spellEnd"/>
            <w:r w:rsidRPr="001E0742">
              <w:rPr>
                <w:rFonts w:ascii="Arial" w:hAnsi="Arial"/>
                <w:b/>
                <w:bCs/>
                <w:lang w:eastAsia="de-DE"/>
              </w:rPr>
              <w:t xml:space="preserve"> in %</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4.5</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5.0</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(0.5)</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4.5</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4.9</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(0.4)</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EBIT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840.7</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756.5</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11.1%</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223.0</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210.6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5.9%</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EBIT </w:t>
            </w:r>
            <w:proofErr w:type="spellStart"/>
            <w:r w:rsidRPr="001E0742">
              <w:rPr>
                <w:rFonts w:ascii="Arial" w:hAnsi="Arial"/>
                <w:b/>
                <w:bCs/>
                <w:lang w:eastAsia="de-DE"/>
              </w:rPr>
              <w:t>margin</w:t>
            </w:r>
            <w:proofErr w:type="spellEnd"/>
            <w:r w:rsidRPr="001E0742">
              <w:rPr>
                <w:rFonts w:ascii="Arial" w:hAnsi="Arial"/>
                <w:b/>
                <w:bCs/>
                <w:lang w:eastAsia="de-DE"/>
              </w:rPr>
              <w:t xml:space="preserve"> in %</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3.2</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3.5</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(0.3)</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3.1</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(0.5)</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Nominal</w:t>
            </w:r>
            <w:proofErr w:type="spellEnd"/>
            <w:r w:rsidRPr="001E0742">
              <w:rPr>
                <w:rFonts w:ascii="Arial" w:hAnsi="Arial"/>
                <w:b/>
                <w:bCs/>
                <w:lang w:eastAsia="de-DE"/>
              </w:rPr>
              <w:t xml:space="preserve"> profit </w:t>
            </w:r>
            <w:proofErr w:type="spellStart"/>
            <w:r w:rsidRPr="001E0742">
              <w:rPr>
                <w:rFonts w:ascii="Arial" w:hAnsi="Arial"/>
                <w:b/>
                <w:bCs/>
                <w:lang w:eastAsia="de-DE"/>
              </w:rPr>
              <w:t>before</w:t>
            </w:r>
            <w:proofErr w:type="spellEnd"/>
            <w:r w:rsidRPr="001E0742">
              <w:rPr>
                <w:rFonts w:ascii="Arial" w:hAnsi="Arial"/>
                <w:b/>
                <w:bCs/>
                <w:lang w:eastAsia="de-DE"/>
              </w:rPr>
              <w:t xml:space="preserve"> tax/PBT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677.2</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435.0</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55.7%</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175.0</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(13.6)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1,386.8%</w:t>
            </w:r>
          </w:p>
        </w:tc>
      </w:tr>
      <w:tr w:rsidR="001E0742" w:rsidRPr="001E0742" w:rsidTr="001E0742">
        <w:trPr>
          <w:trHeight w:val="340"/>
        </w:trPr>
        <w:tc>
          <w:tcPr>
            <w:tcW w:w="3402"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lastRenderedPageBreak/>
              <w:t>Nominal</w:t>
            </w:r>
            <w:proofErr w:type="spellEnd"/>
            <w:r w:rsidRPr="001E0742">
              <w:rPr>
                <w:rFonts w:ascii="Arial" w:hAnsi="Arial"/>
                <w:b/>
                <w:bCs/>
                <w:lang w:eastAsia="de-DE"/>
              </w:rPr>
              <w:t xml:space="preserve"> </w:t>
            </w:r>
            <w:proofErr w:type="spellStart"/>
            <w:r w:rsidRPr="001E0742">
              <w:rPr>
                <w:rFonts w:ascii="Arial" w:hAnsi="Arial"/>
                <w:b/>
                <w:bCs/>
                <w:lang w:eastAsia="de-DE"/>
              </w:rPr>
              <w:t>net</w:t>
            </w:r>
            <w:proofErr w:type="spellEnd"/>
            <w:r w:rsidRPr="001E0742">
              <w:rPr>
                <w:rFonts w:ascii="Arial" w:hAnsi="Arial"/>
                <w:b/>
                <w:bCs/>
                <w:lang w:eastAsia="de-DE"/>
              </w:rPr>
              <w:t xml:space="preserve"> profit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481.8</w:t>
            </w:r>
          </w:p>
        </w:tc>
        <w:tc>
          <w:tcPr>
            <w:tcW w:w="847"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207.9</w:t>
            </w:r>
          </w:p>
        </w:tc>
        <w:tc>
          <w:tcPr>
            <w:tcW w:w="865"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131.7%</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126.4</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(86.4)</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246.3%</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Nominal</w:t>
            </w:r>
            <w:proofErr w:type="spellEnd"/>
            <w:r w:rsidRPr="001E0742">
              <w:rPr>
                <w:rFonts w:ascii="Arial" w:hAnsi="Arial"/>
                <w:b/>
                <w:bCs/>
                <w:lang w:eastAsia="de-DE"/>
              </w:rPr>
              <w:t xml:space="preserve"> </w:t>
            </w:r>
            <w:proofErr w:type="spellStart"/>
            <w:r w:rsidRPr="001E0742">
              <w:rPr>
                <w:rFonts w:ascii="Arial" w:hAnsi="Arial"/>
                <w:b/>
                <w:bCs/>
                <w:lang w:eastAsia="de-DE"/>
              </w:rPr>
              <w:t>earnings</w:t>
            </w:r>
            <w:proofErr w:type="spellEnd"/>
            <w:r w:rsidRPr="001E0742">
              <w:rPr>
                <w:rFonts w:ascii="Arial" w:hAnsi="Arial"/>
                <w:b/>
                <w:bCs/>
                <w:lang w:eastAsia="de-DE"/>
              </w:rPr>
              <w:t xml:space="preserve"> per </w:t>
            </w:r>
            <w:proofErr w:type="spellStart"/>
            <w:r w:rsidRPr="001E0742">
              <w:rPr>
                <w:rFonts w:ascii="Arial" w:hAnsi="Arial"/>
                <w:b/>
                <w:bCs/>
                <w:lang w:eastAsia="de-DE"/>
              </w:rPr>
              <w:t>share</w:t>
            </w:r>
            <w:proofErr w:type="spellEnd"/>
            <w:r w:rsidRPr="001E0742">
              <w:rPr>
                <w:rFonts w:ascii="Arial" w:hAnsi="Arial"/>
                <w:b/>
                <w:bCs/>
                <w:lang w:eastAsia="de-DE"/>
              </w:rPr>
              <w:t xml:space="preserve"> (EUR)</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6.68</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3.05</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119.0%</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1.68</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(1.27)</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232.3%</w:t>
            </w:r>
          </w:p>
        </w:tc>
      </w:tr>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lang w:eastAsia="de-DE"/>
              </w:rPr>
            </w:pP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rPr>
                <w:rFonts w:ascii="Arial" w:eastAsia="Times New Roman" w:hAnsi="Arial"/>
              </w:rPr>
            </w:pP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eastAsia="Times New Roman" w:hAnsi="Arial"/>
              </w:rPr>
            </w:pP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eastAsia="Times New Roman" w:hAnsi="Arial"/>
              </w:rPr>
            </w:pPr>
          </w:p>
        </w:tc>
        <w:tc>
          <w:tcPr>
            <w:tcW w:w="856" w:type="dxa"/>
            <w:tcBorders>
              <w:top w:val="nil"/>
              <w:left w:val="nil"/>
              <w:bottom w:val="single" w:sz="8" w:space="0" w:color="auto"/>
              <w:right w:val="nil"/>
            </w:tcBorders>
            <w:shd w:val="clear" w:color="auto" w:fill="F2F2F2"/>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highlight w:val="yellow"/>
                <w:lang w:eastAsia="de-DE"/>
              </w:rPr>
            </w:pP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Cash </w:t>
            </w:r>
            <w:proofErr w:type="spellStart"/>
            <w:r w:rsidRPr="001E0742">
              <w:rPr>
                <w:rFonts w:ascii="Arial" w:hAnsi="Arial"/>
                <w:b/>
                <w:bCs/>
                <w:lang w:eastAsia="de-DE"/>
              </w:rPr>
              <w:t>flow</w:t>
            </w:r>
            <w:proofErr w:type="spellEnd"/>
            <w:r w:rsidRPr="001E0742">
              <w:rPr>
                <w:rFonts w:ascii="Arial" w:hAnsi="Arial"/>
                <w:b/>
                <w:bCs/>
                <w:lang w:eastAsia="de-DE"/>
              </w:rPr>
              <w:t xml:space="preserve"> </w:t>
            </w:r>
            <w:proofErr w:type="spellStart"/>
            <w:r w:rsidRPr="001E0742">
              <w:rPr>
                <w:rFonts w:ascii="Arial" w:hAnsi="Arial"/>
                <w:b/>
                <w:bCs/>
                <w:lang w:eastAsia="de-DE"/>
              </w:rPr>
              <w:t>from</w:t>
            </w:r>
            <w:proofErr w:type="spellEnd"/>
            <w:r w:rsidRPr="001E0742">
              <w:rPr>
                <w:rFonts w:ascii="Arial" w:hAnsi="Arial"/>
                <w:b/>
                <w:bCs/>
                <w:lang w:eastAsia="de-DE"/>
              </w:rPr>
              <w:t xml:space="preserve"> </w:t>
            </w:r>
            <w:proofErr w:type="spellStart"/>
            <w:r w:rsidRPr="001E0742">
              <w:rPr>
                <w:rFonts w:ascii="Arial" w:hAnsi="Arial"/>
                <w:b/>
                <w:bCs/>
                <w:lang w:eastAsia="de-DE"/>
              </w:rPr>
              <w:t>operating</w:t>
            </w:r>
            <w:proofErr w:type="spellEnd"/>
            <w:r w:rsidRPr="001E0742">
              <w:rPr>
                <w:rFonts w:ascii="Arial" w:hAnsi="Arial"/>
                <w:b/>
                <w:bCs/>
                <w:lang w:eastAsia="de-DE"/>
              </w:rPr>
              <w:t xml:space="preserve"> </w:t>
            </w:r>
            <w:proofErr w:type="spellStart"/>
            <w:r w:rsidRPr="001E0742">
              <w:rPr>
                <w:rFonts w:ascii="Arial" w:hAnsi="Arial"/>
                <w:b/>
                <w:bCs/>
                <w:lang w:eastAsia="de-DE"/>
              </w:rPr>
              <w:t>activities</w:t>
            </w:r>
            <w:proofErr w:type="spellEnd"/>
            <w:r w:rsidRPr="001E0742">
              <w:rPr>
                <w:rFonts w:ascii="Arial" w:hAnsi="Arial"/>
                <w:b/>
                <w:bCs/>
                <w:lang w:eastAsia="de-DE"/>
              </w:rPr>
              <w: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1,287.4</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405.6</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881.8</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1,138.1</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626.6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511.5</w:t>
            </w:r>
          </w:p>
        </w:tc>
      </w:tr>
      <w:tr w:rsidR="001E0742" w:rsidRPr="001E0742" w:rsidTr="001E0742">
        <w:trPr>
          <w:trHeight w:val="340"/>
        </w:trPr>
        <w:tc>
          <w:tcPr>
            <w:tcW w:w="3402"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Cash </w:t>
            </w:r>
            <w:proofErr w:type="spellStart"/>
            <w:r w:rsidRPr="001E0742">
              <w:rPr>
                <w:rFonts w:ascii="Arial" w:hAnsi="Arial"/>
                <w:b/>
                <w:bCs/>
                <w:lang w:eastAsia="de-DE"/>
              </w:rPr>
              <w:t>flow</w:t>
            </w:r>
            <w:proofErr w:type="spellEnd"/>
            <w:r w:rsidRPr="001E0742">
              <w:rPr>
                <w:rFonts w:ascii="Arial" w:hAnsi="Arial"/>
                <w:b/>
                <w:bCs/>
                <w:lang w:eastAsia="de-DE"/>
              </w:rPr>
              <w:t xml:space="preserve"> </w:t>
            </w:r>
            <w:proofErr w:type="spellStart"/>
            <w:r w:rsidRPr="001E0742">
              <w:rPr>
                <w:rFonts w:ascii="Arial" w:hAnsi="Arial"/>
                <w:b/>
                <w:bCs/>
                <w:lang w:eastAsia="de-DE"/>
              </w:rPr>
              <w:t>from</w:t>
            </w:r>
            <w:proofErr w:type="spellEnd"/>
            <w:r w:rsidRPr="001E0742">
              <w:rPr>
                <w:rFonts w:ascii="Arial" w:hAnsi="Arial"/>
                <w:b/>
                <w:bCs/>
                <w:lang w:eastAsia="de-DE"/>
              </w:rPr>
              <w:t xml:space="preserve"> </w:t>
            </w:r>
            <w:proofErr w:type="spellStart"/>
            <w:r w:rsidRPr="001E0742">
              <w:rPr>
                <w:rFonts w:ascii="Arial" w:hAnsi="Arial"/>
                <w:b/>
                <w:bCs/>
                <w:lang w:eastAsia="de-DE"/>
              </w:rPr>
              <w:t>operating</w:t>
            </w:r>
            <w:proofErr w:type="spellEnd"/>
            <w:r w:rsidRPr="001E0742">
              <w:rPr>
                <w:rFonts w:ascii="Arial" w:hAnsi="Arial"/>
                <w:b/>
                <w:bCs/>
                <w:lang w:eastAsia="de-DE"/>
              </w:rPr>
              <w:t xml:space="preserve"> </w:t>
            </w:r>
            <w:proofErr w:type="spellStart"/>
            <w:r w:rsidRPr="001E0742">
              <w:rPr>
                <w:rFonts w:ascii="Arial" w:hAnsi="Arial"/>
                <w:b/>
                <w:bCs/>
                <w:lang w:eastAsia="de-DE"/>
              </w:rPr>
              <w:t>activities</w:t>
            </w:r>
            <w:proofErr w:type="spellEnd"/>
            <w:r w:rsidRPr="001E0742">
              <w:rPr>
                <w:rFonts w:ascii="Arial" w:hAnsi="Arial"/>
                <w:b/>
                <w:bCs/>
                <w:lang w:eastAsia="de-DE"/>
              </w:rPr>
              <w:t xml:space="preserve"> </w:t>
            </w:r>
            <w:proofErr w:type="spellStart"/>
            <w:r w:rsidRPr="001E0742">
              <w:rPr>
                <w:rFonts w:ascii="Arial" w:hAnsi="Arial"/>
                <w:b/>
                <w:bCs/>
                <w:lang w:eastAsia="de-DE"/>
              </w:rPr>
              <w:t>pre-factoring</w:t>
            </w:r>
            <w:proofErr w:type="spellEnd"/>
            <w:r w:rsidRPr="001E0742">
              <w:rPr>
                <w:rFonts w:ascii="Arial" w:hAnsi="Arial"/>
                <w:b/>
                <w:bCs/>
                <w:lang w:eastAsia="de-DE"/>
              </w:rPr>
              <w: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1,211.8</w:t>
            </w:r>
          </w:p>
        </w:tc>
        <w:tc>
          <w:tcPr>
            <w:tcW w:w="847"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759.5</w:t>
            </w:r>
          </w:p>
        </w:tc>
        <w:tc>
          <w:tcPr>
            <w:tcW w:w="865"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452.3</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1,090.1</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680.6</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409.5</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Net </w:t>
            </w:r>
            <w:proofErr w:type="spellStart"/>
            <w:r w:rsidRPr="001E0742">
              <w:rPr>
                <w:rFonts w:ascii="Arial" w:hAnsi="Arial"/>
                <w:b/>
                <w:bCs/>
                <w:lang w:eastAsia="de-DE"/>
              </w:rPr>
              <w:t>operating</w:t>
            </w:r>
            <w:proofErr w:type="spellEnd"/>
            <w:r w:rsidRPr="001E0742">
              <w:rPr>
                <w:rFonts w:ascii="Arial" w:hAnsi="Arial"/>
                <w:b/>
                <w:bCs/>
                <w:lang w:eastAsia="de-DE"/>
              </w:rPr>
              <w:t xml:space="preserve"> </w:t>
            </w:r>
            <w:proofErr w:type="spellStart"/>
            <w:r w:rsidRPr="001E0742">
              <w:rPr>
                <w:rFonts w:ascii="Arial" w:hAnsi="Arial"/>
                <w:b/>
                <w:bCs/>
                <w:lang w:eastAsia="de-DE"/>
              </w:rPr>
              <w:t>capital</w:t>
            </w:r>
            <w:proofErr w:type="spellEnd"/>
            <w:r w:rsidRPr="001E0742">
              <w:rPr>
                <w:rFonts w:ascii="Arial" w:hAnsi="Arial"/>
                <w:b/>
                <w:bCs/>
                <w:lang w:eastAsia="de-DE"/>
              </w:rPr>
              <w:t xml:space="preserve"> </w:t>
            </w:r>
            <w:proofErr w:type="spellStart"/>
            <w:r w:rsidRPr="001E0742">
              <w:rPr>
                <w:rFonts w:ascii="Arial" w:hAnsi="Arial"/>
                <w:b/>
                <w:bCs/>
                <w:lang w:eastAsia="de-DE"/>
              </w:rPr>
              <w:t>expenditure</w:t>
            </w:r>
            <w:proofErr w:type="spellEnd"/>
            <w:r w:rsidRPr="001E0742">
              <w:rPr>
                <w:rFonts w:ascii="Arial" w:hAnsi="Arial"/>
                <w:b/>
                <w:bCs/>
                <w:lang w:eastAsia="de-DE"/>
              </w:rPr>
              <w:t xml:space="preserve"> </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164.0</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55.6</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108.4</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55.9</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15.7</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40.2</w:t>
            </w: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Free cash </w:t>
            </w:r>
            <w:proofErr w:type="spellStart"/>
            <w:r w:rsidRPr="001E0742">
              <w:rPr>
                <w:rFonts w:ascii="Arial" w:hAnsi="Arial"/>
                <w:b/>
                <w:bCs/>
                <w:lang w:eastAsia="de-DE"/>
              </w:rPr>
              <w:t>flow</w:t>
            </w:r>
            <w:proofErr w:type="spellEnd"/>
            <w:r w:rsidRPr="001E0742">
              <w:rPr>
                <w:rFonts w:ascii="Arial" w:hAnsi="Arial"/>
                <w:b/>
                <w:bCs/>
                <w:lang w:eastAsia="de-DE"/>
              </w:rPr>
              <w:t xml:space="preserve"> </w:t>
            </w:r>
            <w:proofErr w:type="spellStart"/>
            <w:r w:rsidRPr="001E0742">
              <w:rPr>
                <w:rFonts w:ascii="Arial" w:hAnsi="Arial"/>
                <w:b/>
                <w:bCs/>
                <w:lang w:eastAsia="de-DE"/>
              </w:rPr>
              <w:t>from</w:t>
            </w:r>
            <w:proofErr w:type="spellEnd"/>
            <w:r w:rsidRPr="001E0742">
              <w:rPr>
                <w:rFonts w:ascii="Arial" w:hAnsi="Arial"/>
                <w:b/>
                <w:bCs/>
                <w:lang w:eastAsia="de-DE"/>
              </w:rPr>
              <w:t xml:space="preserve"> </w:t>
            </w:r>
            <w:proofErr w:type="spellStart"/>
            <w:r w:rsidRPr="001E0742">
              <w:rPr>
                <w:rFonts w:ascii="Arial" w:hAnsi="Arial"/>
                <w:b/>
                <w:bCs/>
                <w:lang w:eastAsia="de-DE"/>
              </w:rPr>
              <w:t>operating</w:t>
            </w:r>
            <w:proofErr w:type="spellEnd"/>
            <w:r w:rsidRPr="001E0742">
              <w:rPr>
                <w:rFonts w:ascii="Arial" w:hAnsi="Arial"/>
                <w:b/>
                <w:bCs/>
                <w:lang w:eastAsia="de-DE"/>
              </w:rPr>
              <w:t xml:space="preserve"> </w:t>
            </w:r>
            <w:proofErr w:type="spellStart"/>
            <w:r w:rsidRPr="001E0742">
              <w:rPr>
                <w:rFonts w:ascii="Arial" w:hAnsi="Arial"/>
                <w:b/>
                <w:bCs/>
                <w:lang w:eastAsia="de-DE"/>
              </w:rPr>
              <w:t>activities</w:t>
            </w:r>
            <w:proofErr w:type="spellEnd"/>
            <w:r w:rsidRPr="001E0742">
              <w:rPr>
                <w:rFonts w:ascii="Arial" w:hAnsi="Arial"/>
                <w:b/>
                <w:bCs/>
                <w:lang w:eastAsia="de-DE"/>
              </w:rPr>
              <w:t>*</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1,123.4</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350.0</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773.4</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1,082.2</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610.9</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471.3</w:t>
            </w:r>
          </w:p>
        </w:tc>
      </w:tr>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rPr>
                <w:rFonts w:ascii="Arial" w:hAnsi="Arial"/>
                <w:b/>
                <w:bCs/>
                <w:lang w:eastAsia="de-DE"/>
              </w:rPr>
            </w:pP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47"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65"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shd w:val="clear" w:color="auto" w:fill="F2F2F2"/>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highlight w:val="yellow"/>
                <w:lang w:eastAsia="de-DE"/>
              </w:rPr>
            </w:pP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Net cash/</w:t>
            </w:r>
            <w:proofErr w:type="spellStart"/>
            <w:r w:rsidRPr="001E0742">
              <w:rPr>
                <w:rFonts w:ascii="Arial" w:hAnsi="Arial"/>
                <w:b/>
                <w:bCs/>
                <w:lang w:eastAsia="de-DE"/>
              </w:rPr>
              <w:t>net</w:t>
            </w:r>
            <w:proofErr w:type="spellEnd"/>
            <w:r w:rsidRPr="001E0742">
              <w:rPr>
                <w:rFonts w:ascii="Arial" w:hAnsi="Arial"/>
                <w:b/>
                <w:bCs/>
                <w:lang w:eastAsia="de-DE"/>
              </w:rPr>
              <w:t xml:space="preserve"> </w:t>
            </w:r>
            <w:proofErr w:type="spellStart"/>
            <w:r w:rsidRPr="001E0742">
              <w:rPr>
                <w:rFonts w:ascii="Arial" w:hAnsi="Arial"/>
                <w:b/>
                <w:bCs/>
                <w:lang w:eastAsia="de-DE"/>
              </w:rPr>
              <w:t>debt</w:t>
            </w:r>
            <w:proofErr w:type="spellEnd"/>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353.6</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555.8</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(202.2)</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353.6</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555.8</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(202.2)</w:t>
            </w:r>
          </w:p>
        </w:tc>
      </w:tr>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lang w:eastAsia="de-DE"/>
              </w:rPr>
            </w:pP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47"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65"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shd w:val="clear" w:color="auto" w:fill="F2F2F2"/>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r>
      <w:tr w:rsidR="001E0742" w:rsidRPr="001E0742" w:rsidTr="001E0742">
        <w:trPr>
          <w:trHeight w:val="340"/>
        </w:trPr>
        <w:tc>
          <w:tcPr>
            <w:tcW w:w="3402"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rPr>
                <w:rFonts w:ascii="Arial" w:hAnsi="Arial"/>
                <w:b/>
                <w:bCs/>
                <w:lang w:eastAsia="de-DE"/>
              </w:rPr>
            </w:pPr>
            <w:r w:rsidRPr="001E0742">
              <w:rPr>
                <w:rFonts w:ascii="Arial" w:hAnsi="Arial"/>
                <w:b/>
                <w:bCs/>
                <w:lang w:eastAsia="de-DE"/>
              </w:rPr>
              <w:t xml:space="preserve">New </w:t>
            </w:r>
            <w:proofErr w:type="spellStart"/>
            <w:r w:rsidRPr="001E0742">
              <w:rPr>
                <w:rFonts w:ascii="Arial" w:hAnsi="Arial"/>
                <w:b/>
                <w:bCs/>
                <w:lang w:eastAsia="de-DE"/>
              </w:rPr>
              <w:t>orders</w:t>
            </w:r>
            <w:proofErr w:type="spellEnd"/>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30,066.6</w:t>
            </w:r>
          </w:p>
        </w:tc>
        <w:tc>
          <w:tcPr>
            <w:tcW w:w="847"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27,673.3</w:t>
            </w:r>
          </w:p>
        </w:tc>
        <w:tc>
          <w:tcPr>
            <w:tcW w:w="865" w:type="dxa"/>
            <w:tcBorders>
              <w:top w:val="nil"/>
              <w:left w:val="nil"/>
              <w:bottom w:val="single" w:sz="8" w:space="0" w:color="auto"/>
              <w:right w:val="nil"/>
            </w:tcBorders>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8.6%</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9,192.0</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6,719.5</w:t>
            </w:r>
          </w:p>
        </w:tc>
        <w:tc>
          <w:tcPr>
            <w:tcW w:w="856" w:type="dxa"/>
            <w:tcBorders>
              <w:top w:val="nil"/>
              <w:left w:val="nil"/>
              <w:bottom w:val="single" w:sz="8" w:space="0" w:color="auto"/>
              <w:right w:val="nil"/>
            </w:tcBorders>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36.8%</w:t>
            </w:r>
          </w:p>
        </w:tc>
      </w:tr>
      <w:tr w:rsidR="001E0742" w:rsidRPr="001E0742" w:rsidTr="001E0742">
        <w:trPr>
          <w:trHeight w:val="340"/>
        </w:trPr>
        <w:tc>
          <w:tcPr>
            <w:tcW w:w="3402"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Order</w:t>
            </w:r>
            <w:proofErr w:type="spellEnd"/>
            <w:r w:rsidRPr="001E0742">
              <w:rPr>
                <w:rFonts w:ascii="Arial" w:hAnsi="Arial"/>
                <w:b/>
                <w:bCs/>
                <w:lang w:eastAsia="de-DE"/>
              </w:rPr>
              <w:t xml:space="preserve"> </w:t>
            </w:r>
            <w:proofErr w:type="spellStart"/>
            <w:r w:rsidRPr="001E0742">
              <w:rPr>
                <w:rFonts w:ascii="Arial" w:hAnsi="Arial"/>
                <w:b/>
                <w:bCs/>
                <w:lang w:eastAsia="de-DE"/>
              </w:rPr>
              <w:t>backlog</w:t>
            </w:r>
            <w:proofErr w:type="spellEnd"/>
            <w:r w:rsidRPr="001E0742">
              <w:rPr>
                <w:rFonts w:ascii="Arial" w:hAnsi="Arial"/>
                <w:b/>
                <w:bCs/>
                <w:lang w:eastAsia="de-DE"/>
              </w:rPr>
              <w:t xml:space="preserve"> </w:t>
            </w: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51,404.0</w:t>
            </w:r>
          </w:p>
        </w:tc>
        <w:tc>
          <w:tcPr>
            <w:tcW w:w="847"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48,387.5</w:t>
            </w:r>
          </w:p>
        </w:tc>
        <w:tc>
          <w:tcPr>
            <w:tcW w:w="865" w:type="dxa"/>
            <w:tcBorders>
              <w:top w:val="nil"/>
              <w:left w:val="nil"/>
              <w:bottom w:val="single" w:sz="8" w:space="0" w:color="auto"/>
              <w:right w:val="nil"/>
            </w:tcBorders>
            <w:shd w:val="clear" w:color="auto" w:fill="FFFFFF"/>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6.2%</w:t>
            </w:r>
          </w:p>
        </w:tc>
        <w:tc>
          <w:tcPr>
            <w:tcW w:w="856" w:type="dxa"/>
            <w:tcBorders>
              <w:top w:val="nil"/>
              <w:left w:val="nil"/>
              <w:bottom w:val="single" w:sz="8" w:space="0" w:color="auto"/>
              <w:right w:val="nil"/>
            </w:tcBorders>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51,404.0</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48,387.5</w:t>
            </w:r>
          </w:p>
        </w:tc>
        <w:tc>
          <w:tcPr>
            <w:tcW w:w="856" w:type="dxa"/>
            <w:tcBorders>
              <w:top w:val="nil"/>
              <w:left w:val="nil"/>
              <w:bottom w:val="single" w:sz="8" w:space="0" w:color="auto"/>
              <w:right w:val="nil"/>
            </w:tcBorders>
            <w:shd w:val="clear" w:color="auto" w:fill="FFFFFF"/>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6.2%</w:t>
            </w:r>
          </w:p>
        </w:tc>
      </w:tr>
      <w:tr w:rsidR="001E0742" w:rsidRPr="001E0742" w:rsidTr="001E0742">
        <w:trPr>
          <w:trHeight w:val="20"/>
        </w:trPr>
        <w:tc>
          <w:tcPr>
            <w:tcW w:w="3402"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rPr>
                <w:rFonts w:ascii="Arial" w:hAnsi="Arial"/>
                <w:b/>
                <w:bCs/>
                <w:lang w:eastAsia="de-DE"/>
              </w:rPr>
            </w:pPr>
          </w:p>
        </w:tc>
        <w:tc>
          <w:tcPr>
            <w:tcW w:w="856" w:type="dxa"/>
            <w:tcBorders>
              <w:top w:val="nil"/>
              <w:left w:val="nil"/>
              <w:bottom w:val="single" w:sz="8" w:space="0" w:color="auto"/>
              <w:right w:val="nil"/>
            </w:tcBorders>
            <w:shd w:val="clear" w:color="auto" w:fill="F2F2F2"/>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47"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65" w:type="dxa"/>
            <w:tcBorders>
              <w:top w:val="nil"/>
              <w:left w:val="nil"/>
              <w:bottom w:val="single" w:sz="8" w:space="0" w:color="auto"/>
              <w:right w:val="nil"/>
            </w:tcBorders>
            <w:noWrap/>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shd w:val="clear" w:color="auto" w:fill="F2F2F2"/>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c>
          <w:tcPr>
            <w:tcW w:w="856" w:type="dxa"/>
            <w:tcBorders>
              <w:top w:val="nil"/>
              <w:left w:val="nil"/>
              <w:bottom w:val="single" w:sz="8" w:space="0" w:color="auto"/>
              <w:right w:val="nil"/>
            </w:tcBorders>
            <w:tcMar>
              <w:top w:w="0" w:type="dxa"/>
              <w:left w:w="28" w:type="dxa"/>
              <w:bottom w:w="0" w:type="dxa"/>
              <w:right w:w="28" w:type="dxa"/>
            </w:tcMar>
          </w:tcPr>
          <w:p w:rsidR="001E0742" w:rsidRPr="001E0742" w:rsidRDefault="001E0742">
            <w:pPr>
              <w:jc w:val="right"/>
              <w:rPr>
                <w:rFonts w:ascii="Arial" w:hAnsi="Arial"/>
                <w:b/>
                <w:bCs/>
                <w:highlight w:val="yellow"/>
                <w:lang w:eastAsia="de-DE"/>
              </w:rPr>
            </w:pPr>
          </w:p>
        </w:tc>
      </w:tr>
      <w:tr w:rsidR="001E0742" w:rsidRPr="001E0742" w:rsidTr="001E0742">
        <w:trPr>
          <w:trHeight w:val="340"/>
        </w:trPr>
        <w:tc>
          <w:tcPr>
            <w:tcW w:w="3402" w:type="dxa"/>
            <w:noWrap/>
            <w:tcMar>
              <w:top w:w="0" w:type="dxa"/>
              <w:left w:w="28" w:type="dxa"/>
              <w:bottom w:w="0" w:type="dxa"/>
              <w:right w:w="28" w:type="dxa"/>
            </w:tcMar>
            <w:hideMark/>
          </w:tcPr>
          <w:p w:rsidR="001E0742" w:rsidRPr="001E0742" w:rsidRDefault="001E0742">
            <w:pPr>
              <w:rPr>
                <w:rFonts w:ascii="Arial" w:hAnsi="Arial"/>
                <w:b/>
                <w:bCs/>
                <w:lang w:eastAsia="de-DE"/>
              </w:rPr>
            </w:pPr>
            <w:proofErr w:type="spellStart"/>
            <w:r w:rsidRPr="001E0742">
              <w:rPr>
                <w:rFonts w:ascii="Arial" w:hAnsi="Arial"/>
                <w:b/>
                <w:bCs/>
                <w:lang w:eastAsia="de-DE"/>
              </w:rPr>
              <w:t>Employees</w:t>
            </w:r>
            <w:proofErr w:type="spellEnd"/>
            <w:r w:rsidRPr="001E0742">
              <w:rPr>
                <w:rFonts w:ascii="Arial" w:hAnsi="Arial"/>
                <w:color w:val="000000"/>
                <w:lang w:eastAsia="de-DE"/>
              </w:rPr>
              <w:t xml:space="preserve"> </w:t>
            </w:r>
            <w:r w:rsidRPr="001E0742">
              <w:rPr>
                <w:rFonts w:ascii="Arial" w:hAnsi="Arial"/>
                <w:b/>
                <w:bCs/>
                <w:lang w:eastAsia="de-DE"/>
              </w:rPr>
              <w:t xml:space="preserve">(end </w:t>
            </w:r>
            <w:proofErr w:type="spellStart"/>
            <w:r w:rsidRPr="001E0742">
              <w:rPr>
                <w:rFonts w:ascii="Arial" w:hAnsi="Arial"/>
                <w:b/>
                <w:bCs/>
                <w:lang w:eastAsia="de-DE"/>
              </w:rPr>
              <w:t>of</w:t>
            </w:r>
            <w:proofErr w:type="spellEnd"/>
            <w:r w:rsidRPr="001E0742">
              <w:rPr>
                <w:rFonts w:ascii="Arial" w:hAnsi="Arial"/>
                <w:b/>
                <w:bCs/>
                <w:lang w:eastAsia="de-DE"/>
              </w:rPr>
              <w:t xml:space="preserve"> period)</w:t>
            </w:r>
          </w:p>
        </w:tc>
        <w:tc>
          <w:tcPr>
            <w:tcW w:w="856" w:type="dxa"/>
            <w:shd w:val="clear" w:color="auto" w:fill="F2F2F2"/>
            <w:noWrap/>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36,858</w:t>
            </w:r>
          </w:p>
        </w:tc>
        <w:tc>
          <w:tcPr>
            <w:tcW w:w="847" w:type="dxa"/>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33,835</w:t>
            </w:r>
          </w:p>
        </w:tc>
        <w:tc>
          <w:tcPr>
            <w:tcW w:w="865" w:type="dxa"/>
            <w:noWrap/>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8.9%</w:t>
            </w:r>
          </w:p>
        </w:tc>
        <w:tc>
          <w:tcPr>
            <w:tcW w:w="856" w:type="dxa"/>
            <w:shd w:val="clear" w:color="auto" w:fill="F2F2F2"/>
            <w:tcMar>
              <w:top w:w="0" w:type="dxa"/>
              <w:left w:w="28" w:type="dxa"/>
              <w:bottom w:w="0" w:type="dxa"/>
              <w:right w:w="28" w:type="dxa"/>
            </w:tcMar>
            <w:hideMark/>
          </w:tcPr>
          <w:p w:rsidR="001E0742" w:rsidRPr="001E0742" w:rsidRDefault="001E0742">
            <w:pPr>
              <w:jc w:val="right"/>
              <w:rPr>
                <w:rFonts w:ascii="Arial" w:hAnsi="Arial"/>
                <w:b/>
                <w:bCs/>
                <w:lang w:eastAsia="de-DE"/>
              </w:rPr>
            </w:pPr>
            <w:r w:rsidRPr="001E0742">
              <w:rPr>
                <w:rFonts w:ascii="Arial" w:hAnsi="Arial"/>
                <w:b/>
                <w:bCs/>
                <w:lang w:eastAsia="de-DE"/>
              </w:rPr>
              <w:t>36,858</w:t>
            </w:r>
          </w:p>
        </w:tc>
        <w:tc>
          <w:tcPr>
            <w:tcW w:w="856" w:type="dxa"/>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33,835</w:t>
            </w:r>
          </w:p>
        </w:tc>
        <w:tc>
          <w:tcPr>
            <w:tcW w:w="856" w:type="dxa"/>
            <w:tcMar>
              <w:top w:w="0" w:type="dxa"/>
              <w:left w:w="28" w:type="dxa"/>
              <w:bottom w:w="0" w:type="dxa"/>
              <w:right w:w="28" w:type="dxa"/>
            </w:tcMar>
            <w:hideMark/>
          </w:tcPr>
          <w:p w:rsidR="001E0742" w:rsidRPr="001E0742" w:rsidRDefault="001E0742">
            <w:pPr>
              <w:jc w:val="right"/>
              <w:rPr>
                <w:rFonts w:ascii="Arial" w:hAnsi="Arial"/>
                <w:lang w:eastAsia="de-DE"/>
              </w:rPr>
            </w:pPr>
            <w:r w:rsidRPr="001E0742">
              <w:rPr>
                <w:rFonts w:ascii="Arial" w:hAnsi="Arial"/>
                <w:lang w:eastAsia="de-DE"/>
              </w:rPr>
              <w:t>8.9%</w:t>
            </w:r>
          </w:p>
        </w:tc>
      </w:tr>
    </w:tbl>
    <w:p w:rsidR="001E0742" w:rsidRPr="001E0742" w:rsidRDefault="001E0742" w:rsidP="001E0742">
      <w:pPr>
        <w:rPr>
          <w:rFonts w:ascii="Arial" w:hAnsi="Arial"/>
          <w:sz w:val="16"/>
          <w:szCs w:val="16"/>
          <w:lang w:val="en-US"/>
        </w:rPr>
      </w:pPr>
    </w:p>
    <w:p w:rsidR="001E0742" w:rsidRPr="001E0742" w:rsidRDefault="001E0742" w:rsidP="001E0742">
      <w:pPr>
        <w:rPr>
          <w:rFonts w:ascii="Arial" w:hAnsi="Arial"/>
          <w:sz w:val="18"/>
          <w:szCs w:val="18"/>
          <w:lang w:val="en-US"/>
        </w:rPr>
      </w:pPr>
    </w:p>
    <w:p w:rsidR="001E0742" w:rsidRPr="001E0742" w:rsidRDefault="001E0742" w:rsidP="001E0742">
      <w:pPr>
        <w:spacing w:after="240"/>
        <w:rPr>
          <w:rFonts w:ascii="Arial" w:hAnsi="Arial"/>
          <w:sz w:val="18"/>
          <w:szCs w:val="18"/>
          <w:lang w:val="en-US"/>
        </w:rPr>
      </w:pPr>
      <w:r w:rsidRPr="001E0742">
        <w:rPr>
          <w:rFonts w:ascii="Arial" w:hAnsi="Arial"/>
          <w:sz w:val="18"/>
          <w:szCs w:val="18"/>
          <w:lang w:val="en-US"/>
        </w:rPr>
        <w:t>Note:    Operational profits are adjusted for non-operational effects;</w:t>
      </w:r>
      <w:r w:rsidRPr="001E0742">
        <w:rPr>
          <w:rFonts w:ascii="Arial" w:hAnsi="Arial"/>
          <w:sz w:val="18"/>
          <w:szCs w:val="18"/>
          <w:lang w:val="en-US"/>
        </w:rPr>
        <w:br/>
        <w:t>          * Underlying cash flow figures, excluding the extraordinary payments in the amount of EUR 237 million</w:t>
      </w:r>
      <w:r w:rsidRPr="001E0742">
        <w:rPr>
          <w:rFonts w:ascii="Arial" w:hAnsi="Arial"/>
          <w:sz w:val="18"/>
          <w:szCs w:val="18"/>
          <w:lang w:val="en-US"/>
        </w:rPr>
        <w:br/>
        <w:t>            for the CCPP legacy settlement and for the final payment of the legacy Chilean project</w:t>
      </w:r>
    </w:p>
    <w:p w:rsidR="000A3EDA" w:rsidRPr="001E0742" w:rsidRDefault="000A3EDA">
      <w:pPr>
        <w:rPr>
          <w:rFonts w:ascii="Arial" w:hAnsi="Arial"/>
        </w:rPr>
      </w:pPr>
    </w:p>
    <w:sectPr w:rsidR="000A3EDA" w:rsidRPr="001E074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Helvetica 45 Light">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81669"/>
    <w:multiLevelType w:val="hybridMultilevel"/>
    <w:tmpl w:val="C7DE168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 w15:restartNumberingAfterBreak="0">
    <w:nsid w:val="0E3A77BD"/>
    <w:multiLevelType w:val="hybridMultilevel"/>
    <w:tmpl w:val="C7F23B0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26A12765"/>
    <w:multiLevelType w:val="hybridMultilevel"/>
    <w:tmpl w:val="02248A1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62884A6F"/>
    <w:multiLevelType w:val="hybridMultilevel"/>
    <w:tmpl w:val="7F0EE0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742"/>
    <w:rsid w:val="000A3EDA"/>
    <w:rsid w:val="001E074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C368DD-C07B-4DF1-90FF-FFFF57B0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1E0742"/>
    <w:pPr>
      <w:spacing w:after="0" w:line="240" w:lineRule="auto"/>
    </w:pPr>
    <w:rPr>
      <w:rFonts w:ascii="Helvetica 45 Light" w:hAnsi="Helvetica 45 Light" w:cs="Arial"/>
      <w:sz w:val="20"/>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1E0742"/>
    <w:pPr>
      <w:spacing w:after="200" w:line="276" w:lineRule="auto"/>
      <w:ind w:left="720"/>
      <w:contextualSpacing/>
    </w:pPr>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3579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1511</Words>
  <Characters>8919</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
    </vt:vector>
  </TitlesOfParts>
  <Company>HOCHTIEF CZ a.s.</Company>
  <LinksUpToDate>false</LinksUpToDate>
  <CharactersWithSpaces>10410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Talian Michal</dc:creator>
  <cp:keywords/>
  <dc:description/>
  <cp:lastModifiedBy>Talian Michal</cp:lastModifiedBy>
  <cp:revision>1</cp:revision>
  <dcterms:created xsi:type="dcterms:W3CDTF">2023-02-27T09:27:00Z</dcterms:created>
  <dcterms:modified xsi:type="dcterms:W3CDTF">2023-02-27T09:28:00Z</dcterms:modified>
</cp:coreProperties>
</file>