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3406" w:rsidRPr="00843406" w:rsidRDefault="00843406" w:rsidP="00843406">
      <w:pPr>
        <w:rPr>
          <w:rFonts w:ascii="Arial" w:hAnsi="Arial"/>
          <w:b/>
          <w:bCs/>
          <w:color w:val="000000"/>
          <w:sz w:val="22"/>
          <w:szCs w:val="22"/>
        </w:rPr>
      </w:pPr>
      <w:r w:rsidRPr="00843406">
        <w:rPr>
          <w:rFonts w:ascii="Arial" w:hAnsi="Arial"/>
          <w:b/>
          <w:bCs/>
          <w:color w:val="000000"/>
          <w:sz w:val="22"/>
          <w:szCs w:val="22"/>
        </w:rPr>
        <w:t>H1 2019: HOCHTIEF with strong increase in operational net profit of 25% to EUR 296 million – on track to deliver on full-year guidance</w:t>
      </w:r>
    </w:p>
    <w:p w:rsidR="00843406" w:rsidRPr="00843406" w:rsidRDefault="00843406" w:rsidP="00843406">
      <w:pPr>
        <w:rPr>
          <w:rFonts w:ascii="Arial" w:hAnsi="Arial"/>
        </w:rPr>
      </w:pPr>
    </w:p>
    <w:p w:rsidR="00843406" w:rsidRPr="00843406" w:rsidRDefault="00843406" w:rsidP="00843406">
      <w:pPr>
        <w:pStyle w:val="StandardFett"/>
        <w:framePr w:w="0" w:h="0" w:hSpace="0" w:wrap="auto" w:vAnchor="margin" w:hAnchor="text" w:xAlign="left" w:yAlign="inline"/>
        <w:numPr>
          <w:ilvl w:val="0"/>
          <w:numId w:val="1"/>
        </w:numPr>
        <w:spacing w:line="284" w:lineRule="atLeast"/>
        <w:rPr>
          <w:rFonts w:ascii="Arial" w:hAnsi="Arial"/>
        </w:rPr>
      </w:pPr>
      <w:r w:rsidRPr="00843406">
        <w:rPr>
          <w:rFonts w:ascii="Arial" w:hAnsi="Arial"/>
        </w:rPr>
        <w:t>Operational net profit +25% year on year (</w:t>
      </w:r>
      <w:proofErr w:type="spellStart"/>
      <w:r w:rsidRPr="00843406">
        <w:rPr>
          <w:rFonts w:ascii="Arial" w:hAnsi="Arial"/>
        </w:rPr>
        <w:t>yoy</w:t>
      </w:r>
      <w:proofErr w:type="spellEnd"/>
      <w:r w:rsidRPr="00843406">
        <w:rPr>
          <w:rFonts w:ascii="Arial" w:hAnsi="Arial"/>
        </w:rPr>
        <w:t>) to EUR 296 million; nominal net profit +21% to EUR 279 million</w:t>
      </w:r>
    </w:p>
    <w:p w:rsidR="00843406" w:rsidRPr="00843406" w:rsidRDefault="00843406" w:rsidP="00843406">
      <w:pPr>
        <w:pStyle w:val="StandardFett"/>
        <w:framePr w:w="0" w:h="0" w:hSpace="0" w:wrap="auto" w:vAnchor="margin" w:hAnchor="text" w:xAlign="left" w:yAlign="inline"/>
        <w:numPr>
          <w:ilvl w:val="0"/>
          <w:numId w:val="2"/>
        </w:numPr>
        <w:spacing w:line="284" w:lineRule="atLeast"/>
        <w:rPr>
          <w:rFonts w:ascii="Arial" w:hAnsi="Arial"/>
          <w:b w:val="0"/>
          <w:bCs w:val="0"/>
        </w:rPr>
      </w:pPr>
      <w:r w:rsidRPr="00843406">
        <w:rPr>
          <w:rFonts w:ascii="Arial" w:hAnsi="Arial"/>
          <w:b w:val="0"/>
          <w:bCs w:val="0"/>
        </w:rPr>
        <w:t xml:space="preserve">Sales of EUR 12.0 billion, up over 800 million or +7% </w:t>
      </w:r>
      <w:proofErr w:type="spellStart"/>
      <w:r w:rsidRPr="00843406">
        <w:rPr>
          <w:rFonts w:ascii="Arial" w:hAnsi="Arial"/>
          <w:b w:val="0"/>
          <w:bCs w:val="0"/>
        </w:rPr>
        <w:t>yoy</w:t>
      </w:r>
      <w:proofErr w:type="spellEnd"/>
      <w:r w:rsidRPr="00843406">
        <w:rPr>
          <w:rFonts w:ascii="Arial" w:hAnsi="Arial"/>
          <w:b w:val="0"/>
          <w:bCs w:val="0"/>
        </w:rPr>
        <w:t xml:space="preserve"> (+4% f/x-adj.)</w:t>
      </w:r>
    </w:p>
    <w:p w:rsidR="00843406" w:rsidRPr="00843406" w:rsidRDefault="00843406" w:rsidP="00843406">
      <w:pPr>
        <w:pStyle w:val="StandardFett"/>
        <w:framePr w:w="0" w:h="0" w:hSpace="0" w:wrap="auto" w:vAnchor="margin" w:hAnchor="text" w:xAlign="left" w:yAlign="inline"/>
        <w:numPr>
          <w:ilvl w:val="0"/>
          <w:numId w:val="2"/>
        </w:numPr>
        <w:spacing w:line="284" w:lineRule="atLeast"/>
        <w:rPr>
          <w:rFonts w:ascii="Arial" w:hAnsi="Arial"/>
          <w:b w:val="0"/>
          <w:bCs w:val="0"/>
        </w:rPr>
      </w:pPr>
      <w:r w:rsidRPr="00843406">
        <w:rPr>
          <w:rFonts w:ascii="Arial" w:hAnsi="Arial"/>
          <w:b w:val="0"/>
          <w:bCs w:val="0"/>
        </w:rPr>
        <w:t xml:space="preserve">Profit growth in all divisions with steady margins; EUR 52 million </w:t>
      </w:r>
      <w:proofErr w:type="spellStart"/>
      <w:r w:rsidRPr="00843406">
        <w:rPr>
          <w:rFonts w:ascii="Arial" w:hAnsi="Arial"/>
          <w:b w:val="0"/>
          <w:bCs w:val="0"/>
        </w:rPr>
        <w:t>Abertis</w:t>
      </w:r>
      <w:proofErr w:type="spellEnd"/>
      <w:r w:rsidRPr="00843406">
        <w:rPr>
          <w:rFonts w:ascii="Arial" w:hAnsi="Arial"/>
          <w:b w:val="0"/>
          <w:bCs w:val="0"/>
        </w:rPr>
        <w:t xml:space="preserve"> contribution</w:t>
      </w:r>
    </w:p>
    <w:p w:rsidR="00843406" w:rsidRPr="00843406" w:rsidRDefault="00843406" w:rsidP="00843406">
      <w:pPr>
        <w:pStyle w:val="StandardFett"/>
        <w:framePr w:w="0" w:h="0" w:hSpace="0" w:wrap="auto" w:vAnchor="margin" w:hAnchor="text" w:xAlign="left" w:yAlign="inline"/>
        <w:numPr>
          <w:ilvl w:val="0"/>
          <w:numId w:val="2"/>
        </w:numPr>
        <w:spacing w:line="284" w:lineRule="atLeast"/>
        <w:rPr>
          <w:rFonts w:ascii="Arial" w:hAnsi="Arial"/>
          <w:b w:val="0"/>
          <w:bCs w:val="0"/>
        </w:rPr>
      </w:pPr>
      <w:r w:rsidRPr="00843406">
        <w:rPr>
          <w:rFonts w:ascii="Arial" w:hAnsi="Arial"/>
          <w:b w:val="0"/>
          <w:bCs w:val="0"/>
        </w:rPr>
        <w:t xml:space="preserve">Operational PBT +11% </w:t>
      </w:r>
      <w:proofErr w:type="spellStart"/>
      <w:r w:rsidRPr="00843406">
        <w:rPr>
          <w:rFonts w:ascii="Arial" w:hAnsi="Arial"/>
          <w:b w:val="0"/>
          <w:bCs w:val="0"/>
        </w:rPr>
        <w:t>yoy</w:t>
      </w:r>
      <w:proofErr w:type="spellEnd"/>
      <w:r w:rsidRPr="00843406">
        <w:rPr>
          <w:rFonts w:ascii="Arial" w:hAnsi="Arial"/>
          <w:b w:val="0"/>
          <w:bCs w:val="0"/>
        </w:rPr>
        <w:t xml:space="preserve"> to EUR 506 million</w:t>
      </w:r>
    </w:p>
    <w:p w:rsidR="00843406" w:rsidRPr="00843406" w:rsidRDefault="00843406" w:rsidP="00843406">
      <w:pPr>
        <w:pStyle w:val="StandardFett"/>
        <w:framePr w:w="0" w:h="0" w:hSpace="0" w:wrap="auto" w:vAnchor="margin" w:hAnchor="text" w:xAlign="left" w:yAlign="inline"/>
        <w:numPr>
          <w:ilvl w:val="0"/>
          <w:numId w:val="1"/>
        </w:numPr>
        <w:spacing w:line="284" w:lineRule="atLeast"/>
        <w:rPr>
          <w:rFonts w:ascii="Arial" w:hAnsi="Arial"/>
        </w:rPr>
      </w:pPr>
      <w:r w:rsidRPr="00843406">
        <w:rPr>
          <w:rFonts w:ascii="Arial" w:hAnsi="Arial"/>
        </w:rPr>
        <w:t>Net cash from operating activities shows positive momentum</w:t>
      </w:r>
    </w:p>
    <w:p w:rsidR="00843406" w:rsidRPr="00843406" w:rsidRDefault="00843406" w:rsidP="00843406">
      <w:pPr>
        <w:pStyle w:val="StandardFett"/>
        <w:framePr w:w="0" w:h="0" w:hSpace="0" w:wrap="auto" w:vAnchor="margin" w:hAnchor="text" w:xAlign="left" w:yAlign="inline"/>
        <w:numPr>
          <w:ilvl w:val="0"/>
          <w:numId w:val="2"/>
        </w:numPr>
        <w:spacing w:line="284" w:lineRule="atLeast"/>
        <w:rPr>
          <w:rFonts w:ascii="Arial" w:hAnsi="Arial"/>
          <w:b w:val="0"/>
          <w:bCs w:val="0"/>
        </w:rPr>
      </w:pPr>
      <w:r w:rsidRPr="00843406">
        <w:rPr>
          <w:rFonts w:ascii="Arial" w:hAnsi="Arial"/>
          <w:b w:val="0"/>
          <w:bCs w:val="0"/>
        </w:rPr>
        <w:t xml:space="preserve">H1 cash flow of EUR 414 million is up EUR 56 million </w:t>
      </w:r>
      <w:proofErr w:type="spellStart"/>
      <w:r w:rsidRPr="00843406">
        <w:rPr>
          <w:rFonts w:ascii="Arial" w:hAnsi="Arial"/>
          <w:b w:val="0"/>
          <w:bCs w:val="0"/>
        </w:rPr>
        <w:t>yoy</w:t>
      </w:r>
      <w:proofErr w:type="spellEnd"/>
      <w:r w:rsidRPr="00843406">
        <w:rPr>
          <w:rFonts w:ascii="Arial" w:hAnsi="Arial"/>
          <w:b w:val="0"/>
          <w:bCs w:val="0"/>
        </w:rPr>
        <w:t>; eliminating seasonality EUR 1.6 billion last twelve months (LTM)</w:t>
      </w:r>
    </w:p>
    <w:p w:rsidR="00843406" w:rsidRPr="00843406" w:rsidRDefault="00843406" w:rsidP="00843406">
      <w:pPr>
        <w:pStyle w:val="StandardFett"/>
        <w:framePr w:w="0" w:h="0" w:hSpace="0" w:wrap="auto" w:vAnchor="margin" w:hAnchor="text" w:xAlign="left" w:yAlign="inline"/>
        <w:numPr>
          <w:ilvl w:val="0"/>
          <w:numId w:val="1"/>
        </w:numPr>
        <w:spacing w:line="284" w:lineRule="atLeast"/>
        <w:rPr>
          <w:rFonts w:ascii="Arial" w:hAnsi="Arial"/>
        </w:rPr>
      </w:pPr>
      <w:r w:rsidRPr="00843406">
        <w:rPr>
          <w:rFonts w:ascii="Arial" w:hAnsi="Arial"/>
        </w:rPr>
        <w:t xml:space="preserve">Group net cash of EUR 1.3 billion, all divisions up </w:t>
      </w:r>
      <w:proofErr w:type="spellStart"/>
      <w:r w:rsidRPr="00843406">
        <w:rPr>
          <w:rFonts w:ascii="Arial" w:hAnsi="Arial"/>
        </w:rPr>
        <w:t>yoy</w:t>
      </w:r>
      <w:proofErr w:type="spellEnd"/>
    </w:p>
    <w:p w:rsidR="00843406" w:rsidRPr="00843406" w:rsidRDefault="00843406" w:rsidP="00843406">
      <w:pPr>
        <w:pStyle w:val="StandardFett"/>
        <w:framePr w:w="0" w:h="0" w:hSpace="0" w:wrap="auto" w:vAnchor="margin" w:hAnchor="text" w:xAlign="left" w:yAlign="inline"/>
        <w:numPr>
          <w:ilvl w:val="0"/>
          <w:numId w:val="2"/>
        </w:numPr>
        <w:spacing w:line="284" w:lineRule="atLeast"/>
        <w:rPr>
          <w:rFonts w:ascii="Arial" w:hAnsi="Arial"/>
          <w:b w:val="0"/>
          <w:bCs w:val="0"/>
        </w:rPr>
      </w:pPr>
      <w:r w:rsidRPr="00843406">
        <w:rPr>
          <w:rFonts w:ascii="Arial" w:hAnsi="Arial"/>
          <w:b w:val="0"/>
          <w:bCs w:val="0"/>
        </w:rPr>
        <w:t>S&amp;P affirmed BBB rating and stable outlook</w:t>
      </w:r>
    </w:p>
    <w:p w:rsidR="00843406" w:rsidRPr="00843406" w:rsidRDefault="00843406" w:rsidP="00843406">
      <w:pPr>
        <w:pStyle w:val="StandardFett"/>
        <w:framePr w:w="0" w:h="0" w:hSpace="0" w:wrap="auto" w:vAnchor="margin" w:hAnchor="text" w:xAlign="left" w:yAlign="inline"/>
        <w:numPr>
          <w:ilvl w:val="0"/>
          <w:numId w:val="1"/>
        </w:numPr>
        <w:spacing w:line="284" w:lineRule="atLeast"/>
        <w:rPr>
          <w:rFonts w:ascii="Arial" w:hAnsi="Arial"/>
        </w:rPr>
      </w:pPr>
      <w:r w:rsidRPr="00843406">
        <w:rPr>
          <w:rFonts w:ascii="Arial" w:hAnsi="Arial"/>
        </w:rPr>
        <w:t>Strong new orders of EUR 14.6 billion (+13%)</w:t>
      </w:r>
      <w:proofErr w:type="gramStart"/>
      <w:r w:rsidRPr="00843406">
        <w:rPr>
          <w:rFonts w:ascii="Arial" w:hAnsi="Arial"/>
        </w:rPr>
        <w:t>,</w:t>
      </w:r>
      <w:proofErr w:type="gramEnd"/>
      <w:r w:rsidRPr="00843406">
        <w:rPr>
          <w:rFonts w:ascii="Arial" w:hAnsi="Arial"/>
        </w:rPr>
        <w:t xml:space="preserve"> order backlog up EUR 3.8 billion </w:t>
      </w:r>
      <w:proofErr w:type="spellStart"/>
      <w:r w:rsidRPr="00843406">
        <w:rPr>
          <w:rFonts w:ascii="Arial" w:hAnsi="Arial"/>
        </w:rPr>
        <w:t>yoy</w:t>
      </w:r>
      <w:proofErr w:type="spellEnd"/>
      <w:r w:rsidRPr="00843406">
        <w:rPr>
          <w:rFonts w:ascii="Arial" w:hAnsi="Arial"/>
          <w:b w:val="0"/>
          <w:bCs w:val="0"/>
        </w:rPr>
        <w:t xml:space="preserve"> </w:t>
      </w:r>
      <w:r w:rsidRPr="00843406">
        <w:rPr>
          <w:rFonts w:ascii="Arial" w:hAnsi="Arial"/>
        </w:rPr>
        <w:t>to EUR 49.4 billion (+8%)</w:t>
      </w:r>
    </w:p>
    <w:p w:rsidR="00843406" w:rsidRPr="00843406" w:rsidRDefault="00843406" w:rsidP="00843406">
      <w:pPr>
        <w:pStyle w:val="StandardFett"/>
        <w:framePr w:w="0" w:h="0" w:hSpace="0" w:wrap="auto" w:vAnchor="margin" w:hAnchor="text" w:xAlign="left" w:yAlign="inline"/>
        <w:numPr>
          <w:ilvl w:val="0"/>
          <w:numId w:val="1"/>
        </w:numPr>
        <w:spacing w:line="284" w:lineRule="atLeast"/>
        <w:rPr>
          <w:rFonts w:ascii="Arial" w:hAnsi="Arial"/>
        </w:rPr>
      </w:pPr>
      <w:r w:rsidRPr="00843406">
        <w:rPr>
          <w:rFonts w:ascii="Arial" w:hAnsi="Arial"/>
        </w:rPr>
        <w:t xml:space="preserve">Guidance confirmed: 2019 operational net profit of EUR 640–680 million (+22 to 30% </w:t>
      </w:r>
      <w:proofErr w:type="spellStart"/>
      <w:r w:rsidRPr="00843406">
        <w:rPr>
          <w:rFonts w:ascii="Arial" w:hAnsi="Arial"/>
        </w:rPr>
        <w:t>yoy</w:t>
      </w:r>
      <w:proofErr w:type="spellEnd"/>
      <w:r w:rsidRPr="00843406">
        <w:rPr>
          <w:rFonts w:ascii="Arial" w:hAnsi="Arial"/>
        </w:rPr>
        <w:t>)</w:t>
      </w:r>
    </w:p>
    <w:p w:rsidR="00843406" w:rsidRPr="00843406" w:rsidRDefault="00843406" w:rsidP="00843406">
      <w:pPr>
        <w:pStyle w:val="StandardFett"/>
        <w:framePr w:w="0" w:h="0" w:hSpace="0" w:wrap="auto" w:vAnchor="margin" w:hAnchor="text" w:xAlign="left" w:yAlign="inline"/>
        <w:numPr>
          <w:ilvl w:val="0"/>
          <w:numId w:val="2"/>
        </w:numPr>
        <w:spacing w:line="284" w:lineRule="atLeast"/>
        <w:rPr>
          <w:rFonts w:ascii="Arial" w:hAnsi="Arial"/>
          <w:b w:val="0"/>
          <w:bCs w:val="0"/>
        </w:rPr>
      </w:pPr>
      <w:r w:rsidRPr="00843406">
        <w:rPr>
          <w:rFonts w:ascii="Arial" w:hAnsi="Arial"/>
          <w:b w:val="0"/>
          <w:bCs w:val="0"/>
        </w:rPr>
        <w:t>Positive outlook for seasonally stronger second half of the year across the three divisions, based on solid order book</w:t>
      </w:r>
    </w:p>
    <w:p w:rsidR="00843406" w:rsidRPr="00843406" w:rsidRDefault="00843406" w:rsidP="00843406">
      <w:pPr>
        <w:pStyle w:val="StandardFett"/>
        <w:framePr w:w="0" w:h="0" w:hSpace="0" w:wrap="auto" w:vAnchor="margin" w:hAnchor="text" w:xAlign="left" w:yAlign="inline"/>
        <w:numPr>
          <w:ilvl w:val="0"/>
          <w:numId w:val="2"/>
        </w:numPr>
        <w:spacing w:line="284" w:lineRule="atLeast"/>
        <w:rPr>
          <w:rFonts w:ascii="Arial" w:hAnsi="Arial"/>
          <w:b w:val="0"/>
          <w:bCs w:val="0"/>
        </w:rPr>
      </w:pPr>
      <w:r w:rsidRPr="00843406">
        <w:rPr>
          <w:rFonts w:ascii="Arial" w:hAnsi="Arial"/>
          <w:b w:val="0"/>
          <w:bCs w:val="0"/>
        </w:rPr>
        <w:t>Robust tender pipeline in our core markets: USA, Canada, Asia Pacific and Europe approaching EUR 600 billion for 2019 and beyond; PPP project pipeline of about EUR 230 billion</w:t>
      </w:r>
    </w:p>
    <w:p w:rsidR="00843406" w:rsidRPr="00843406" w:rsidRDefault="00843406" w:rsidP="00843406">
      <w:pPr>
        <w:rPr>
          <w:rFonts w:ascii="Arial" w:hAnsi="Arial"/>
          <w:b/>
          <w:bCs/>
        </w:rPr>
      </w:pPr>
    </w:p>
    <w:p w:rsidR="00843406" w:rsidRPr="00843406" w:rsidRDefault="00843406" w:rsidP="00843406">
      <w:pPr>
        <w:rPr>
          <w:rFonts w:ascii="Arial" w:hAnsi="Arial"/>
          <w:b/>
          <w:bCs/>
        </w:rPr>
      </w:pPr>
    </w:p>
    <w:p w:rsidR="00843406" w:rsidRPr="00843406" w:rsidRDefault="00843406" w:rsidP="00843406">
      <w:pPr>
        <w:rPr>
          <w:rFonts w:ascii="Arial" w:hAnsi="Arial"/>
          <w:sz w:val="22"/>
          <w:szCs w:val="22"/>
        </w:rPr>
      </w:pPr>
      <w:r w:rsidRPr="00843406">
        <w:rPr>
          <w:rFonts w:ascii="Arial" w:hAnsi="Arial"/>
          <w:sz w:val="22"/>
          <w:szCs w:val="22"/>
        </w:rPr>
        <w:t xml:space="preserve">HOCHTIEF has delivered a robust performance during the first six months of 2019 with a solid increase in the Group’s profits, sales and order book, compared with a year ago, accompanied by an increase in net cash from operating activities. </w:t>
      </w:r>
    </w:p>
    <w:p w:rsidR="00843406" w:rsidRPr="00843406" w:rsidRDefault="00843406" w:rsidP="00843406">
      <w:pPr>
        <w:rPr>
          <w:rFonts w:ascii="Arial" w:hAnsi="Arial"/>
          <w:sz w:val="22"/>
          <w:szCs w:val="22"/>
        </w:rPr>
      </w:pPr>
    </w:p>
    <w:p w:rsidR="00843406" w:rsidRPr="00843406" w:rsidRDefault="00843406" w:rsidP="00843406">
      <w:pPr>
        <w:rPr>
          <w:rFonts w:ascii="Arial" w:hAnsi="Arial"/>
          <w:sz w:val="22"/>
          <w:szCs w:val="22"/>
        </w:rPr>
      </w:pPr>
      <w:r w:rsidRPr="00843406">
        <w:rPr>
          <w:rFonts w:ascii="Arial" w:hAnsi="Arial"/>
          <w:b/>
          <w:bCs/>
          <w:sz w:val="22"/>
          <w:szCs w:val="22"/>
        </w:rPr>
        <w:t>Operational net profit</w:t>
      </w:r>
      <w:r w:rsidRPr="00843406">
        <w:rPr>
          <w:rFonts w:ascii="Arial" w:hAnsi="Arial"/>
          <w:sz w:val="22"/>
          <w:szCs w:val="22"/>
        </w:rPr>
        <w:t xml:space="preserve"> increased by EUR 58 million, or 25%, year on year to EUR 296 </w:t>
      </w:r>
      <w:proofErr w:type="gramStart"/>
      <w:r w:rsidRPr="00843406">
        <w:rPr>
          <w:rFonts w:ascii="Arial" w:hAnsi="Arial"/>
          <w:sz w:val="22"/>
          <w:szCs w:val="22"/>
        </w:rPr>
        <w:t>million</w:t>
      </w:r>
      <w:proofErr w:type="gramEnd"/>
      <w:r w:rsidRPr="00843406">
        <w:rPr>
          <w:rFonts w:ascii="Arial" w:hAnsi="Arial"/>
          <w:sz w:val="22"/>
          <w:szCs w:val="22"/>
        </w:rPr>
        <w:t xml:space="preserve">. </w:t>
      </w:r>
      <w:r w:rsidRPr="00843406">
        <w:rPr>
          <w:rFonts w:ascii="Arial" w:hAnsi="Arial"/>
          <w:b/>
          <w:bCs/>
          <w:sz w:val="22"/>
          <w:szCs w:val="22"/>
        </w:rPr>
        <w:t>Nominal net profit</w:t>
      </w:r>
      <w:r w:rsidRPr="00843406">
        <w:rPr>
          <w:rFonts w:ascii="Arial" w:hAnsi="Arial"/>
          <w:sz w:val="22"/>
          <w:szCs w:val="22"/>
        </w:rPr>
        <w:t xml:space="preserve"> rose by 21% year on year to EUR 279 </w:t>
      </w:r>
      <w:proofErr w:type="gramStart"/>
      <w:r w:rsidRPr="00843406">
        <w:rPr>
          <w:rFonts w:ascii="Arial" w:hAnsi="Arial"/>
          <w:sz w:val="22"/>
          <w:szCs w:val="22"/>
        </w:rPr>
        <w:t>million</w:t>
      </w:r>
      <w:proofErr w:type="gramEnd"/>
      <w:r w:rsidRPr="00843406">
        <w:rPr>
          <w:rFonts w:ascii="Arial" w:hAnsi="Arial"/>
          <w:sz w:val="22"/>
          <w:szCs w:val="22"/>
        </w:rPr>
        <w:t xml:space="preserve">. Both profit measures include a EUR 52 million contribution from the 20% equity-consolidated stake in </w:t>
      </w:r>
      <w:proofErr w:type="spellStart"/>
      <w:r w:rsidRPr="00843406">
        <w:rPr>
          <w:rFonts w:ascii="Arial" w:hAnsi="Arial"/>
          <w:sz w:val="22"/>
          <w:szCs w:val="22"/>
        </w:rPr>
        <w:t>Abertis</w:t>
      </w:r>
      <w:proofErr w:type="spellEnd"/>
      <w:r w:rsidRPr="00843406">
        <w:rPr>
          <w:rFonts w:ascii="Arial" w:hAnsi="Arial"/>
          <w:sz w:val="22"/>
          <w:szCs w:val="22"/>
        </w:rPr>
        <w:t>. In addition to this positive impact, all three HOCHTIEF divisions contributed to the increase in operational net profit.</w:t>
      </w:r>
    </w:p>
    <w:p w:rsidR="00843406" w:rsidRPr="00843406" w:rsidRDefault="00843406" w:rsidP="00843406">
      <w:pPr>
        <w:rPr>
          <w:rFonts w:ascii="Arial" w:hAnsi="Arial"/>
          <w:sz w:val="22"/>
          <w:szCs w:val="22"/>
        </w:rPr>
      </w:pPr>
    </w:p>
    <w:p w:rsidR="00843406" w:rsidRPr="00843406" w:rsidRDefault="00843406" w:rsidP="00843406">
      <w:pPr>
        <w:rPr>
          <w:rFonts w:ascii="Arial" w:hAnsi="Arial"/>
          <w:sz w:val="22"/>
          <w:szCs w:val="22"/>
        </w:rPr>
      </w:pPr>
      <w:r w:rsidRPr="00843406">
        <w:rPr>
          <w:rFonts w:ascii="Arial" w:hAnsi="Arial"/>
          <w:b/>
          <w:bCs/>
          <w:sz w:val="22"/>
          <w:szCs w:val="22"/>
        </w:rPr>
        <w:t>Sales</w:t>
      </w:r>
      <w:r w:rsidRPr="00843406">
        <w:rPr>
          <w:rFonts w:ascii="Arial" w:hAnsi="Arial"/>
          <w:sz w:val="22"/>
          <w:szCs w:val="22"/>
        </w:rPr>
        <w:t xml:space="preserve"> in the January to June 2019 period increased to EUR 12.0 </w:t>
      </w:r>
      <w:proofErr w:type="gramStart"/>
      <w:r w:rsidRPr="00843406">
        <w:rPr>
          <w:rFonts w:ascii="Arial" w:hAnsi="Arial"/>
          <w:sz w:val="22"/>
          <w:szCs w:val="22"/>
        </w:rPr>
        <w:t>billion</w:t>
      </w:r>
      <w:proofErr w:type="gramEnd"/>
      <w:r w:rsidRPr="00843406">
        <w:rPr>
          <w:rFonts w:ascii="Arial" w:hAnsi="Arial"/>
          <w:sz w:val="22"/>
          <w:szCs w:val="22"/>
        </w:rPr>
        <w:t xml:space="preserve">, or 4%, year on year, adjusting for movements in foreign exchange. In nominal </w:t>
      </w:r>
      <w:proofErr w:type="gramStart"/>
      <w:r w:rsidRPr="00843406">
        <w:rPr>
          <w:rFonts w:ascii="Arial" w:hAnsi="Arial"/>
          <w:sz w:val="22"/>
          <w:szCs w:val="22"/>
        </w:rPr>
        <w:t>terms</w:t>
      </w:r>
      <w:proofErr w:type="gramEnd"/>
      <w:r w:rsidRPr="00843406">
        <w:rPr>
          <w:rFonts w:ascii="Arial" w:hAnsi="Arial"/>
          <w:sz w:val="22"/>
          <w:szCs w:val="22"/>
        </w:rPr>
        <w:t xml:space="preserve"> sales were 7% higher. HOCHTIEF’s </w:t>
      </w:r>
      <w:r w:rsidRPr="00843406">
        <w:rPr>
          <w:rFonts w:ascii="Arial" w:hAnsi="Arial"/>
          <w:b/>
          <w:bCs/>
          <w:sz w:val="22"/>
          <w:szCs w:val="22"/>
        </w:rPr>
        <w:t>operational PBT margin</w:t>
      </w:r>
      <w:r w:rsidRPr="00843406">
        <w:rPr>
          <w:rFonts w:ascii="Arial" w:hAnsi="Arial"/>
          <w:sz w:val="22"/>
          <w:szCs w:val="22"/>
        </w:rPr>
        <w:t xml:space="preserve"> was steady at 4.2% of sales. </w:t>
      </w:r>
    </w:p>
    <w:p w:rsidR="00843406" w:rsidRPr="00843406" w:rsidRDefault="00843406" w:rsidP="00843406">
      <w:pPr>
        <w:rPr>
          <w:rFonts w:ascii="Arial" w:hAnsi="Arial"/>
          <w:sz w:val="22"/>
          <w:szCs w:val="22"/>
        </w:rPr>
      </w:pPr>
    </w:p>
    <w:p w:rsidR="00843406" w:rsidRPr="00843406" w:rsidRDefault="00843406" w:rsidP="00843406">
      <w:pPr>
        <w:rPr>
          <w:rFonts w:ascii="Arial" w:hAnsi="Arial"/>
          <w:sz w:val="22"/>
          <w:szCs w:val="22"/>
        </w:rPr>
      </w:pPr>
      <w:r w:rsidRPr="00843406">
        <w:rPr>
          <w:rFonts w:ascii="Arial" w:hAnsi="Arial"/>
          <w:sz w:val="22"/>
          <w:szCs w:val="22"/>
        </w:rPr>
        <w:t xml:space="preserve">“We have increased sales by over EUR 800 million in the first six months of 2019. The greater proportion of our activities coming from our construction management, services and concessions including </w:t>
      </w:r>
      <w:proofErr w:type="spellStart"/>
      <w:r w:rsidRPr="00843406">
        <w:rPr>
          <w:rFonts w:ascii="Arial" w:hAnsi="Arial"/>
          <w:sz w:val="22"/>
          <w:szCs w:val="22"/>
        </w:rPr>
        <w:t>Abertis</w:t>
      </w:r>
      <w:proofErr w:type="spellEnd"/>
      <w:r w:rsidRPr="00843406">
        <w:rPr>
          <w:rFonts w:ascii="Arial" w:hAnsi="Arial"/>
          <w:sz w:val="22"/>
          <w:szCs w:val="22"/>
        </w:rPr>
        <w:t xml:space="preserve"> is driving an improved risk profile and enhancing the visibility of our profits and cash flow”, said CEO </w:t>
      </w:r>
      <w:proofErr w:type="spellStart"/>
      <w:r w:rsidRPr="00843406">
        <w:rPr>
          <w:rFonts w:ascii="Arial" w:hAnsi="Arial"/>
          <w:sz w:val="22"/>
          <w:szCs w:val="22"/>
        </w:rPr>
        <w:t>Marcelino</w:t>
      </w:r>
      <w:proofErr w:type="spellEnd"/>
      <w:r w:rsidRPr="00843406">
        <w:rPr>
          <w:rFonts w:ascii="Arial" w:hAnsi="Arial"/>
          <w:sz w:val="22"/>
          <w:szCs w:val="22"/>
        </w:rPr>
        <w:t xml:space="preserve"> </w:t>
      </w:r>
      <w:proofErr w:type="spellStart"/>
      <w:r w:rsidRPr="00843406">
        <w:rPr>
          <w:rFonts w:ascii="Arial" w:hAnsi="Arial"/>
          <w:sz w:val="22"/>
          <w:szCs w:val="22"/>
        </w:rPr>
        <w:t>Fernández</w:t>
      </w:r>
      <w:proofErr w:type="spellEnd"/>
      <w:r w:rsidRPr="00843406">
        <w:rPr>
          <w:rFonts w:ascii="Arial" w:hAnsi="Arial"/>
          <w:sz w:val="22"/>
          <w:szCs w:val="22"/>
        </w:rPr>
        <w:t xml:space="preserve"> Verdes.</w:t>
      </w:r>
    </w:p>
    <w:p w:rsidR="00843406" w:rsidRPr="00843406" w:rsidRDefault="00843406" w:rsidP="00843406">
      <w:pPr>
        <w:rPr>
          <w:rFonts w:ascii="Arial" w:hAnsi="Arial"/>
          <w:sz w:val="22"/>
          <w:szCs w:val="22"/>
        </w:rPr>
      </w:pPr>
    </w:p>
    <w:p w:rsidR="00843406" w:rsidRPr="00843406" w:rsidRDefault="00843406" w:rsidP="00843406">
      <w:pPr>
        <w:rPr>
          <w:rFonts w:ascii="Arial" w:hAnsi="Arial"/>
          <w:sz w:val="22"/>
          <w:szCs w:val="22"/>
        </w:rPr>
      </w:pPr>
      <w:r w:rsidRPr="00843406">
        <w:rPr>
          <w:rFonts w:ascii="Arial" w:hAnsi="Arial"/>
          <w:sz w:val="22"/>
          <w:szCs w:val="22"/>
        </w:rPr>
        <w:t xml:space="preserve">First </w:t>
      </w:r>
      <w:proofErr w:type="gramStart"/>
      <w:r w:rsidRPr="00843406">
        <w:rPr>
          <w:rFonts w:ascii="Arial" w:hAnsi="Arial"/>
          <w:sz w:val="22"/>
          <w:szCs w:val="22"/>
        </w:rPr>
        <w:t xml:space="preserve">half </w:t>
      </w:r>
      <w:r w:rsidRPr="00843406">
        <w:rPr>
          <w:rFonts w:ascii="Arial" w:hAnsi="Arial"/>
          <w:b/>
          <w:bCs/>
          <w:sz w:val="22"/>
          <w:szCs w:val="22"/>
        </w:rPr>
        <w:t>net</w:t>
      </w:r>
      <w:proofErr w:type="gramEnd"/>
      <w:r w:rsidRPr="00843406">
        <w:rPr>
          <w:rFonts w:ascii="Arial" w:hAnsi="Arial"/>
          <w:b/>
          <w:bCs/>
          <w:sz w:val="22"/>
          <w:szCs w:val="22"/>
        </w:rPr>
        <w:t xml:space="preserve"> cash from operating activities</w:t>
      </w:r>
      <w:r w:rsidRPr="00843406">
        <w:rPr>
          <w:rFonts w:ascii="Arial" w:hAnsi="Arial"/>
          <w:sz w:val="22"/>
          <w:szCs w:val="22"/>
        </w:rPr>
        <w:t xml:space="preserve"> of EUR 414 million was EUR 56 million higher year on year. Considering the last </w:t>
      </w:r>
      <w:proofErr w:type="gramStart"/>
      <w:r w:rsidRPr="00843406">
        <w:rPr>
          <w:rFonts w:ascii="Arial" w:hAnsi="Arial"/>
          <w:sz w:val="22"/>
          <w:szCs w:val="22"/>
        </w:rPr>
        <w:t>twelve month</w:t>
      </w:r>
      <w:proofErr w:type="gramEnd"/>
      <w:r w:rsidRPr="00843406">
        <w:rPr>
          <w:rFonts w:ascii="Arial" w:hAnsi="Arial"/>
          <w:sz w:val="22"/>
          <w:szCs w:val="22"/>
        </w:rPr>
        <w:t xml:space="preserve"> period, to eliminate the impact of seasonality, HOCHTIEF has generated a strong level of net cash from operating activities of over EUR 1.6 billion. This reflects both continued growth in cash-backed profits and further cash inflow from working capital. </w:t>
      </w:r>
    </w:p>
    <w:p w:rsidR="00843406" w:rsidRPr="00843406" w:rsidRDefault="00843406" w:rsidP="00843406">
      <w:pPr>
        <w:rPr>
          <w:rFonts w:ascii="Arial" w:hAnsi="Arial"/>
          <w:sz w:val="22"/>
          <w:szCs w:val="22"/>
        </w:rPr>
      </w:pPr>
      <w:r w:rsidRPr="00843406">
        <w:rPr>
          <w:rFonts w:ascii="Arial" w:hAnsi="Arial"/>
          <w:sz w:val="22"/>
          <w:szCs w:val="22"/>
        </w:rPr>
        <w:t> </w:t>
      </w:r>
    </w:p>
    <w:p w:rsidR="00843406" w:rsidRPr="00843406" w:rsidRDefault="00843406" w:rsidP="00843406">
      <w:pPr>
        <w:rPr>
          <w:rFonts w:ascii="Arial" w:hAnsi="Arial"/>
          <w:sz w:val="22"/>
          <w:szCs w:val="22"/>
        </w:rPr>
      </w:pPr>
      <w:r w:rsidRPr="00843406">
        <w:rPr>
          <w:rFonts w:ascii="Arial" w:hAnsi="Arial"/>
          <w:sz w:val="22"/>
          <w:szCs w:val="22"/>
        </w:rPr>
        <w:t xml:space="preserve">Due to increased mining and job-costed tunneling work, </w:t>
      </w:r>
      <w:r w:rsidRPr="00843406">
        <w:rPr>
          <w:rFonts w:ascii="Arial" w:hAnsi="Arial"/>
          <w:b/>
          <w:bCs/>
          <w:sz w:val="22"/>
          <w:szCs w:val="22"/>
        </w:rPr>
        <w:t>net operating capital expenditure</w:t>
      </w:r>
      <w:r w:rsidRPr="00843406">
        <w:rPr>
          <w:rFonts w:ascii="Arial" w:hAnsi="Arial"/>
          <w:sz w:val="22"/>
          <w:szCs w:val="22"/>
        </w:rPr>
        <w:t xml:space="preserve"> increased by EUR 71 million to EUR 234 </w:t>
      </w:r>
      <w:proofErr w:type="gramStart"/>
      <w:r w:rsidRPr="00843406">
        <w:rPr>
          <w:rFonts w:ascii="Arial" w:hAnsi="Arial"/>
          <w:sz w:val="22"/>
          <w:szCs w:val="22"/>
        </w:rPr>
        <w:t>million</w:t>
      </w:r>
      <w:proofErr w:type="gramEnd"/>
      <w:r w:rsidRPr="00843406">
        <w:rPr>
          <w:rFonts w:ascii="Arial" w:hAnsi="Arial"/>
          <w:sz w:val="22"/>
          <w:szCs w:val="22"/>
        </w:rPr>
        <w:t>. Looking at the last twelve months, HOCHTIEF has delivered over EUR 1.2 billion of free cash flow from operations.</w:t>
      </w:r>
    </w:p>
    <w:p w:rsidR="00843406" w:rsidRPr="00843406" w:rsidRDefault="00843406" w:rsidP="00843406">
      <w:pPr>
        <w:rPr>
          <w:rFonts w:ascii="Arial" w:hAnsi="Arial"/>
          <w:sz w:val="22"/>
          <w:szCs w:val="22"/>
        </w:rPr>
      </w:pPr>
    </w:p>
    <w:p w:rsidR="00843406" w:rsidRPr="00843406" w:rsidRDefault="00843406" w:rsidP="00843406">
      <w:pPr>
        <w:rPr>
          <w:rFonts w:ascii="Arial" w:hAnsi="Arial"/>
          <w:sz w:val="22"/>
          <w:szCs w:val="22"/>
        </w:rPr>
      </w:pPr>
      <w:proofErr w:type="gramStart"/>
      <w:r w:rsidRPr="00843406">
        <w:rPr>
          <w:rFonts w:ascii="Arial" w:hAnsi="Arial"/>
          <w:sz w:val="22"/>
          <w:szCs w:val="22"/>
        </w:rPr>
        <w:t>As a consequence</w:t>
      </w:r>
      <w:proofErr w:type="gramEnd"/>
      <w:r w:rsidRPr="00843406">
        <w:rPr>
          <w:rFonts w:ascii="Arial" w:hAnsi="Arial"/>
          <w:sz w:val="22"/>
          <w:szCs w:val="22"/>
        </w:rPr>
        <w:t xml:space="preserve"> of the Group’s solid cash generation, HOCHTIEF ended June 2019 with a </w:t>
      </w:r>
      <w:r w:rsidRPr="00843406">
        <w:rPr>
          <w:rFonts w:ascii="Arial" w:hAnsi="Arial"/>
          <w:b/>
          <w:bCs/>
          <w:sz w:val="22"/>
          <w:szCs w:val="22"/>
        </w:rPr>
        <w:t>net cash position</w:t>
      </w:r>
      <w:r w:rsidRPr="00843406">
        <w:rPr>
          <w:rFonts w:ascii="Arial" w:hAnsi="Arial"/>
          <w:sz w:val="22"/>
          <w:szCs w:val="22"/>
        </w:rPr>
        <w:t xml:space="preserve"> of EUR 1.3 billion, with all three divisions increasing their net cash position compared with June 2018. The Group’s net cash level is after the EUR 494 million net investment in the 20% </w:t>
      </w:r>
      <w:proofErr w:type="spellStart"/>
      <w:r w:rsidRPr="00843406">
        <w:rPr>
          <w:rFonts w:ascii="Arial" w:hAnsi="Arial"/>
          <w:sz w:val="22"/>
          <w:szCs w:val="22"/>
        </w:rPr>
        <w:t>Abertis</w:t>
      </w:r>
      <w:proofErr w:type="spellEnd"/>
      <w:r w:rsidRPr="00843406">
        <w:rPr>
          <w:rFonts w:ascii="Arial" w:hAnsi="Arial"/>
          <w:sz w:val="22"/>
          <w:szCs w:val="22"/>
        </w:rPr>
        <w:t xml:space="preserve"> stake in 2018. </w:t>
      </w:r>
    </w:p>
    <w:p w:rsidR="00843406" w:rsidRPr="00843406" w:rsidRDefault="00843406" w:rsidP="00843406">
      <w:pPr>
        <w:rPr>
          <w:rFonts w:ascii="Arial" w:hAnsi="Arial"/>
          <w:sz w:val="22"/>
          <w:szCs w:val="22"/>
        </w:rPr>
      </w:pPr>
    </w:p>
    <w:p w:rsidR="00843406" w:rsidRPr="00843406" w:rsidRDefault="00843406" w:rsidP="00843406">
      <w:pPr>
        <w:rPr>
          <w:rFonts w:ascii="Arial" w:hAnsi="Arial"/>
          <w:sz w:val="22"/>
          <w:szCs w:val="22"/>
        </w:rPr>
      </w:pPr>
      <w:r w:rsidRPr="00843406">
        <w:rPr>
          <w:rFonts w:ascii="Arial" w:hAnsi="Arial"/>
          <w:sz w:val="22"/>
          <w:szCs w:val="22"/>
        </w:rPr>
        <w:t xml:space="preserve">A strong level of </w:t>
      </w:r>
      <w:r w:rsidRPr="00843406">
        <w:rPr>
          <w:rFonts w:ascii="Arial" w:hAnsi="Arial"/>
          <w:b/>
          <w:bCs/>
          <w:sz w:val="22"/>
          <w:szCs w:val="22"/>
        </w:rPr>
        <w:t>new orders</w:t>
      </w:r>
      <w:r w:rsidRPr="00843406">
        <w:rPr>
          <w:rFonts w:ascii="Arial" w:hAnsi="Arial"/>
          <w:sz w:val="22"/>
          <w:szCs w:val="22"/>
        </w:rPr>
        <w:t xml:space="preserve">, EUR 14.6 </w:t>
      </w:r>
      <w:proofErr w:type="gramStart"/>
      <w:r w:rsidRPr="00843406">
        <w:rPr>
          <w:rFonts w:ascii="Arial" w:hAnsi="Arial"/>
          <w:sz w:val="22"/>
          <w:szCs w:val="22"/>
        </w:rPr>
        <w:t>billion</w:t>
      </w:r>
      <w:proofErr w:type="gramEnd"/>
      <w:r w:rsidRPr="00843406">
        <w:rPr>
          <w:rFonts w:ascii="Arial" w:hAnsi="Arial"/>
          <w:sz w:val="22"/>
          <w:szCs w:val="22"/>
        </w:rPr>
        <w:t xml:space="preserve">, has been secured in the first half of 2019, an increase of EUR 1.7 billion year on year, or 10% f/x-adjusted. The disciplined bidding approach, across the Group’s geographical footprint, remains a priority for all HOCHTIEF-teams. </w:t>
      </w:r>
    </w:p>
    <w:p w:rsidR="00843406" w:rsidRPr="00843406" w:rsidRDefault="00843406" w:rsidP="00843406">
      <w:pPr>
        <w:rPr>
          <w:rFonts w:ascii="Arial" w:hAnsi="Arial"/>
          <w:sz w:val="22"/>
          <w:szCs w:val="22"/>
        </w:rPr>
      </w:pPr>
    </w:p>
    <w:p w:rsidR="00843406" w:rsidRPr="00843406" w:rsidRDefault="00843406" w:rsidP="00843406">
      <w:pPr>
        <w:rPr>
          <w:rFonts w:ascii="Arial" w:hAnsi="Arial"/>
          <w:sz w:val="22"/>
          <w:szCs w:val="22"/>
        </w:rPr>
      </w:pPr>
      <w:r w:rsidRPr="00843406">
        <w:rPr>
          <w:rFonts w:ascii="Arial" w:hAnsi="Arial"/>
          <w:sz w:val="22"/>
          <w:szCs w:val="22"/>
        </w:rPr>
        <w:t xml:space="preserve">One of the most significant new orders received in the second quarter was the large-scale Cross River Rail PPP project in Brisbane, which involves several CIMIC companies. Flatiron has also taken on a rail contract—the Redlands Passenger Rail project in California. Elsewhere in North America, Turner has been awarded the redevelopment of the </w:t>
      </w:r>
      <w:proofErr w:type="gramStart"/>
      <w:r w:rsidRPr="00843406">
        <w:rPr>
          <w:rFonts w:ascii="Arial" w:hAnsi="Arial"/>
          <w:sz w:val="22"/>
          <w:szCs w:val="22"/>
        </w:rPr>
        <w:t>2</w:t>
      </w:r>
      <w:proofErr w:type="gramEnd"/>
      <w:r w:rsidRPr="00843406">
        <w:rPr>
          <w:rFonts w:ascii="Arial" w:hAnsi="Arial"/>
          <w:sz w:val="22"/>
          <w:szCs w:val="22"/>
        </w:rPr>
        <w:t xml:space="preserve"> Penn Plaza building in New York whilst in Germany, HOCHTIEF is responsible for the Heinrich Campus office building in Düsseldorf.</w:t>
      </w:r>
    </w:p>
    <w:p w:rsidR="00843406" w:rsidRPr="00843406" w:rsidRDefault="00843406" w:rsidP="00843406">
      <w:pPr>
        <w:rPr>
          <w:rFonts w:ascii="Arial" w:hAnsi="Arial"/>
          <w:sz w:val="22"/>
          <w:szCs w:val="22"/>
        </w:rPr>
      </w:pPr>
    </w:p>
    <w:p w:rsidR="00843406" w:rsidRPr="00843406" w:rsidRDefault="00843406" w:rsidP="00843406">
      <w:pPr>
        <w:rPr>
          <w:rFonts w:ascii="Arial" w:hAnsi="Arial"/>
          <w:sz w:val="22"/>
          <w:szCs w:val="22"/>
        </w:rPr>
      </w:pPr>
      <w:r w:rsidRPr="00843406">
        <w:rPr>
          <w:rFonts w:ascii="Arial" w:hAnsi="Arial"/>
          <w:sz w:val="22"/>
          <w:szCs w:val="22"/>
        </w:rPr>
        <w:t xml:space="preserve">The June 2019 </w:t>
      </w:r>
      <w:r w:rsidRPr="00843406">
        <w:rPr>
          <w:rFonts w:ascii="Arial" w:hAnsi="Arial"/>
          <w:b/>
          <w:bCs/>
          <w:sz w:val="22"/>
          <w:szCs w:val="22"/>
        </w:rPr>
        <w:t>order book</w:t>
      </w:r>
      <w:r w:rsidRPr="00843406">
        <w:rPr>
          <w:rFonts w:ascii="Arial" w:hAnsi="Arial"/>
          <w:sz w:val="22"/>
          <w:szCs w:val="22"/>
        </w:rPr>
        <w:t xml:space="preserve"> of EUR 49.4 billion shows sustained growth and has increased by EUR 3.8 billion year on year, or 9% on an exchange rate adjusted basis (nominal +8%). </w:t>
      </w:r>
    </w:p>
    <w:p w:rsidR="00843406" w:rsidRPr="00843406" w:rsidRDefault="00843406" w:rsidP="00843406">
      <w:pPr>
        <w:rPr>
          <w:rFonts w:ascii="Arial" w:hAnsi="Arial"/>
          <w:sz w:val="22"/>
          <w:szCs w:val="22"/>
        </w:rPr>
      </w:pPr>
    </w:p>
    <w:p w:rsidR="00843406" w:rsidRPr="00843406" w:rsidRDefault="00843406" w:rsidP="00843406">
      <w:pPr>
        <w:rPr>
          <w:rFonts w:ascii="Arial" w:hAnsi="Arial"/>
          <w:sz w:val="22"/>
          <w:szCs w:val="22"/>
        </w:rPr>
      </w:pPr>
      <w:r w:rsidRPr="00843406">
        <w:rPr>
          <w:rFonts w:ascii="Arial" w:hAnsi="Arial"/>
          <w:sz w:val="22"/>
          <w:szCs w:val="22"/>
        </w:rPr>
        <w:t xml:space="preserve">HOCHTIEF´s local teams have identified a </w:t>
      </w:r>
      <w:r w:rsidRPr="00843406">
        <w:rPr>
          <w:rFonts w:ascii="Arial" w:hAnsi="Arial"/>
          <w:b/>
          <w:bCs/>
          <w:sz w:val="22"/>
          <w:szCs w:val="22"/>
        </w:rPr>
        <w:t>project tender pipeline</w:t>
      </w:r>
      <w:r w:rsidRPr="00843406">
        <w:rPr>
          <w:rFonts w:ascii="Arial" w:hAnsi="Arial"/>
          <w:sz w:val="22"/>
          <w:szCs w:val="22"/>
        </w:rPr>
        <w:t xml:space="preserve"> worth approaching the EUR 600 </w:t>
      </w:r>
      <w:proofErr w:type="gramStart"/>
      <w:r w:rsidRPr="00843406">
        <w:rPr>
          <w:rFonts w:ascii="Arial" w:hAnsi="Arial"/>
          <w:sz w:val="22"/>
          <w:szCs w:val="22"/>
        </w:rPr>
        <w:t>billion</w:t>
      </w:r>
      <w:proofErr w:type="gramEnd"/>
      <w:r w:rsidRPr="00843406">
        <w:rPr>
          <w:rFonts w:ascii="Arial" w:hAnsi="Arial"/>
          <w:sz w:val="22"/>
          <w:szCs w:val="22"/>
        </w:rPr>
        <w:t xml:space="preserve"> level of relevant projects coming to our markets in North America, Asia-Pacific and Europe for the remainder of 2019 and beyond. The company´s strong position in developed PPP markets</w:t>
      </w:r>
      <w:bookmarkStart w:id="0" w:name="_GoBack"/>
      <w:bookmarkEnd w:id="0"/>
      <w:r w:rsidRPr="00843406">
        <w:rPr>
          <w:rFonts w:ascii="Arial" w:hAnsi="Arial"/>
          <w:sz w:val="22"/>
          <w:szCs w:val="22"/>
        </w:rPr>
        <w:t xml:space="preserve"> is reflected in the </w:t>
      </w:r>
      <w:r w:rsidRPr="00843406">
        <w:rPr>
          <w:rFonts w:ascii="Arial" w:hAnsi="Arial"/>
          <w:b/>
          <w:bCs/>
          <w:sz w:val="22"/>
          <w:szCs w:val="22"/>
        </w:rPr>
        <w:t>PPP project pipeline</w:t>
      </w:r>
      <w:r w:rsidRPr="00843406">
        <w:rPr>
          <w:rFonts w:ascii="Arial" w:hAnsi="Arial"/>
          <w:sz w:val="22"/>
          <w:szCs w:val="22"/>
        </w:rPr>
        <w:t xml:space="preserve"> the Group has identified and which stands at EUR 230 </w:t>
      </w:r>
      <w:proofErr w:type="gramStart"/>
      <w:r w:rsidRPr="00843406">
        <w:rPr>
          <w:rFonts w:ascii="Arial" w:hAnsi="Arial"/>
          <w:sz w:val="22"/>
          <w:szCs w:val="22"/>
        </w:rPr>
        <w:t>billion</w:t>
      </w:r>
      <w:proofErr w:type="gramEnd"/>
      <w:r w:rsidRPr="00843406">
        <w:rPr>
          <w:rFonts w:ascii="Arial" w:hAnsi="Arial"/>
          <w:sz w:val="22"/>
          <w:szCs w:val="22"/>
        </w:rPr>
        <w:t xml:space="preserve">. </w:t>
      </w:r>
    </w:p>
    <w:p w:rsidR="00843406" w:rsidRPr="00843406" w:rsidRDefault="00843406" w:rsidP="00843406">
      <w:pPr>
        <w:rPr>
          <w:rFonts w:ascii="Arial" w:hAnsi="Arial"/>
          <w:sz w:val="22"/>
          <w:szCs w:val="22"/>
        </w:rPr>
      </w:pPr>
    </w:p>
    <w:p w:rsidR="00843406" w:rsidRPr="00843406" w:rsidRDefault="00843406" w:rsidP="00843406">
      <w:pPr>
        <w:rPr>
          <w:rFonts w:ascii="Arial" w:hAnsi="Arial"/>
          <w:b/>
          <w:bCs/>
          <w:sz w:val="22"/>
          <w:szCs w:val="22"/>
        </w:rPr>
      </w:pPr>
      <w:r w:rsidRPr="00843406">
        <w:rPr>
          <w:rFonts w:ascii="Arial" w:hAnsi="Arial"/>
          <w:b/>
          <w:bCs/>
          <w:sz w:val="22"/>
          <w:szCs w:val="22"/>
        </w:rPr>
        <w:t>Group Outlook</w:t>
      </w:r>
    </w:p>
    <w:p w:rsidR="00843406" w:rsidRPr="00843406" w:rsidRDefault="00843406" w:rsidP="00843406">
      <w:pPr>
        <w:rPr>
          <w:rFonts w:ascii="Arial" w:hAnsi="Arial"/>
          <w:sz w:val="22"/>
          <w:szCs w:val="22"/>
        </w:rPr>
      </w:pPr>
      <w:proofErr w:type="gramStart"/>
      <w:r w:rsidRPr="00843406">
        <w:rPr>
          <w:rFonts w:ascii="Arial" w:hAnsi="Arial"/>
          <w:sz w:val="22"/>
          <w:szCs w:val="22"/>
        </w:rPr>
        <w:t>As a consequence</w:t>
      </w:r>
      <w:proofErr w:type="gramEnd"/>
      <w:r w:rsidRPr="00843406">
        <w:rPr>
          <w:rFonts w:ascii="Arial" w:hAnsi="Arial"/>
          <w:sz w:val="22"/>
          <w:szCs w:val="22"/>
        </w:rPr>
        <w:t xml:space="preserve"> of the positive Group outlook, HOCHTIEF continues to expect an </w:t>
      </w:r>
      <w:r w:rsidRPr="00843406">
        <w:rPr>
          <w:rFonts w:ascii="Arial" w:hAnsi="Arial"/>
          <w:b/>
          <w:bCs/>
          <w:sz w:val="22"/>
          <w:szCs w:val="22"/>
        </w:rPr>
        <w:t>operational net profit in 2019 in the range of EUR 640–680 million compared with EUR 523 million in 2018</w:t>
      </w:r>
      <w:r w:rsidRPr="00843406">
        <w:rPr>
          <w:rFonts w:ascii="Arial" w:hAnsi="Arial"/>
          <w:sz w:val="22"/>
          <w:szCs w:val="22"/>
        </w:rPr>
        <w:t xml:space="preserve">. This represents an increase of 22 to 30% with all divisions driving this further improvement in the Group performance in addition to the significant contribution expected from the investment in </w:t>
      </w:r>
      <w:proofErr w:type="spellStart"/>
      <w:r w:rsidRPr="00843406">
        <w:rPr>
          <w:rFonts w:ascii="Arial" w:hAnsi="Arial"/>
          <w:sz w:val="22"/>
          <w:szCs w:val="22"/>
        </w:rPr>
        <w:t>Abertis</w:t>
      </w:r>
      <w:proofErr w:type="spellEnd"/>
      <w:r w:rsidRPr="00843406">
        <w:rPr>
          <w:rFonts w:ascii="Arial" w:hAnsi="Arial"/>
          <w:sz w:val="22"/>
          <w:szCs w:val="22"/>
        </w:rPr>
        <w:t xml:space="preserve">. “As we move into the second half of the year, which tends to be stronger due to sector seasonality, we are on track to achieve our FY 2019 guidance – backed by a solid order book and the positive outlook for our three divisions”, said CEO </w:t>
      </w:r>
      <w:proofErr w:type="spellStart"/>
      <w:r w:rsidRPr="00843406">
        <w:rPr>
          <w:rFonts w:ascii="Arial" w:hAnsi="Arial"/>
          <w:sz w:val="22"/>
          <w:szCs w:val="22"/>
        </w:rPr>
        <w:t>Marcelino</w:t>
      </w:r>
      <w:proofErr w:type="spellEnd"/>
      <w:r w:rsidRPr="00843406">
        <w:rPr>
          <w:rFonts w:ascii="Arial" w:hAnsi="Arial"/>
          <w:sz w:val="22"/>
          <w:szCs w:val="22"/>
        </w:rPr>
        <w:t xml:space="preserve"> </w:t>
      </w:r>
      <w:proofErr w:type="spellStart"/>
      <w:r w:rsidRPr="00843406">
        <w:rPr>
          <w:rFonts w:ascii="Arial" w:hAnsi="Arial"/>
          <w:sz w:val="22"/>
          <w:szCs w:val="22"/>
        </w:rPr>
        <w:t>Fernández</w:t>
      </w:r>
      <w:proofErr w:type="spellEnd"/>
      <w:r w:rsidRPr="00843406">
        <w:rPr>
          <w:rFonts w:ascii="Arial" w:hAnsi="Arial"/>
          <w:sz w:val="22"/>
          <w:szCs w:val="22"/>
        </w:rPr>
        <w:t xml:space="preserve"> Verdes.</w:t>
      </w:r>
    </w:p>
    <w:p w:rsidR="007F4B19" w:rsidRPr="00843406" w:rsidRDefault="007F4B19">
      <w:pPr>
        <w:rPr>
          <w:rFonts w:ascii="Arial" w:hAnsi="Arial"/>
        </w:rPr>
      </w:pPr>
    </w:p>
    <w:sectPr w:rsidR="007F4B19" w:rsidRPr="008434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Helvetica 45 Light">
    <w:altName w:val="Times New Roman"/>
    <w:charset w:val="00"/>
    <w:family w:val="auto"/>
    <w:pitch w:val="default"/>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823655"/>
    <w:multiLevelType w:val="hybridMultilevel"/>
    <w:tmpl w:val="229C1BE0"/>
    <w:lvl w:ilvl="0" w:tplc="04070003">
      <w:start w:val="1"/>
      <w:numFmt w:val="bullet"/>
      <w:lvlText w:val="o"/>
      <w:lvlJc w:val="left"/>
      <w:pPr>
        <w:ind w:left="1070" w:hanging="360"/>
      </w:pPr>
      <w:rPr>
        <w:rFonts w:ascii="Courier New" w:hAnsi="Courier New" w:cs="Courier New" w:hint="default"/>
      </w:rPr>
    </w:lvl>
    <w:lvl w:ilvl="1" w:tplc="04070003">
      <w:start w:val="1"/>
      <w:numFmt w:val="bullet"/>
      <w:lvlText w:val="o"/>
      <w:lvlJc w:val="left"/>
      <w:pPr>
        <w:ind w:left="1790" w:hanging="360"/>
      </w:pPr>
      <w:rPr>
        <w:rFonts w:ascii="Courier New" w:hAnsi="Courier New" w:cs="Courier New" w:hint="default"/>
      </w:rPr>
    </w:lvl>
    <w:lvl w:ilvl="2" w:tplc="04070005">
      <w:start w:val="1"/>
      <w:numFmt w:val="bullet"/>
      <w:lvlText w:val=""/>
      <w:lvlJc w:val="left"/>
      <w:pPr>
        <w:ind w:left="2510" w:hanging="360"/>
      </w:pPr>
      <w:rPr>
        <w:rFonts w:ascii="Wingdings" w:hAnsi="Wingdings" w:hint="default"/>
      </w:rPr>
    </w:lvl>
    <w:lvl w:ilvl="3" w:tplc="04070001">
      <w:start w:val="1"/>
      <w:numFmt w:val="bullet"/>
      <w:lvlText w:val=""/>
      <w:lvlJc w:val="left"/>
      <w:pPr>
        <w:ind w:left="3230" w:hanging="360"/>
      </w:pPr>
      <w:rPr>
        <w:rFonts w:ascii="Symbol" w:hAnsi="Symbol" w:hint="default"/>
      </w:rPr>
    </w:lvl>
    <w:lvl w:ilvl="4" w:tplc="04070003">
      <w:start w:val="1"/>
      <w:numFmt w:val="bullet"/>
      <w:lvlText w:val="o"/>
      <w:lvlJc w:val="left"/>
      <w:pPr>
        <w:ind w:left="3950" w:hanging="360"/>
      </w:pPr>
      <w:rPr>
        <w:rFonts w:ascii="Courier New" w:hAnsi="Courier New" w:cs="Courier New" w:hint="default"/>
      </w:rPr>
    </w:lvl>
    <w:lvl w:ilvl="5" w:tplc="04070005">
      <w:start w:val="1"/>
      <w:numFmt w:val="bullet"/>
      <w:lvlText w:val=""/>
      <w:lvlJc w:val="left"/>
      <w:pPr>
        <w:ind w:left="4670" w:hanging="360"/>
      </w:pPr>
      <w:rPr>
        <w:rFonts w:ascii="Wingdings" w:hAnsi="Wingdings" w:hint="default"/>
      </w:rPr>
    </w:lvl>
    <w:lvl w:ilvl="6" w:tplc="04070001">
      <w:start w:val="1"/>
      <w:numFmt w:val="bullet"/>
      <w:lvlText w:val=""/>
      <w:lvlJc w:val="left"/>
      <w:pPr>
        <w:ind w:left="5390" w:hanging="360"/>
      </w:pPr>
      <w:rPr>
        <w:rFonts w:ascii="Symbol" w:hAnsi="Symbol" w:hint="default"/>
      </w:rPr>
    </w:lvl>
    <w:lvl w:ilvl="7" w:tplc="04070003">
      <w:start w:val="1"/>
      <w:numFmt w:val="bullet"/>
      <w:lvlText w:val="o"/>
      <w:lvlJc w:val="left"/>
      <w:pPr>
        <w:ind w:left="6110" w:hanging="360"/>
      </w:pPr>
      <w:rPr>
        <w:rFonts w:ascii="Courier New" w:hAnsi="Courier New" w:cs="Courier New" w:hint="default"/>
      </w:rPr>
    </w:lvl>
    <w:lvl w:ilvl="8" w:tplc="04070005">
      <w:start w:val="1"/>
      <w:numFmt w:val="bullet"/>
      <w:lvlText w:val=""/>
      <w:lvlJc w:val="left"/>
      <w:pPr>
        <w:ind w:left="6830" w:hanging="360"/>
      </w:pPr>
      <w:rPr>
        <w:rFonts w:ascii="Wingdings" w:hAnsi="Wingdings" w:hint="default"/>
      </w:rPr>
    </w:lvl>
  </w:abstractNum>
  <w:abstractNum w:abstractNumId="1" w15:restartNumberingAfterBreak="0">
    <w:nsid w:val="75187501"/>
    <w:multiLevelType w:val="hybridMultilevel"/>
    <w:tmpl w:val="3ACC05E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406"/>
    <w:rsid w:val="007F4B19"/>
    <w:rsid w:val="00843406"/>
    <w:rsid w:val="00F215A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178A60-D8B2-44EA-9EA2-E57095D7F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843406"/>
    <w:pPr>
      <w:spacing w:line="240" w:lineRule="auto"/>
    </w:pPr>
    <w:rPr>
      <w:rFonts w:ascii="Helvetica 45 Light" w:hAnsi="Helvetica 45 Light" w:cs="Arial"/>
      <w:sz w:val="20"/>
      <w:szCs w:val="20"/>
      <w:lang w:val="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StandardFett">
    <w:name w:val="StandardFett"/>
    <w:basedOn w:val="Normln"/>
    <w:rsid w:val="00843406"/>
    <w:pPr>
      <w:framePr w:w="7655" w:h="3553" w:hSpace="142" w:wrap="around" w:vAnchor="text" w:hAnchor="margin" w:x="1" w:y="1932"/>
    </w:pPr>
    <w:rPr>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997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806</Words>
  <Characters>4595</Characters>
  <Application>Microsoft Office Word</Application>
  <DocSecurity>0</DocSecurity>
  <Lines>38</Lines>
  <Paragraphs>10</Paragraphs>
  <ScaleCrop>false</ScaleCrop>
  <HeadingPairs>
    <vt:vector size="2" baseType="variant">
      <vt:variant>
        <vt:lpstr>Název</vt:lpstr>
      </vt:variant>
      <vt:variant>
        <vt:i4>1</vt:i4>
      </vt:variant>
    </vt:vector>
  </HeadingPairs>
  <TitlesOfParts>
    <vt:vector size="1" baseType="lpstr">
      <vt:lpstr/>
    </vt:vector>
  </TitlesOfParts>
  <Company>HOCHTIEF CZ a.s.</Company>
  <LinksUpToDate>false</LinksUpToDate>
  <CharactersWithSpaces>5391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Talian Michal</dc:creator>
  <cp:keywords/>
  <dc:description/>
  <cp:lastModifiedBy>Talian Michal</cp:lastModifiedBy>
  <cp:revision>1</cp:revision>
  <dcterms:created xsi:type="dcterms:W3CDTF">2019-07-29T06:10:00Z</dcterms:created>
  <dcterms:modified xsi:type="dcterms:W3CDTF">2019-07-29T06:17:00Z</dcterms:modified>
</cp:coreProperties>
</file>